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</w:rPr>
      </w:pPr>
      <w:r w:rsidDel="00000000" w:rsidR="00000000" w:rsidRPr="00000000">
        <w:rPr/>
        <w:drawing>
          <wp:inline distB="114300" distT="114300" distL="114300" distR="114300">
            <wp:extent cx="5943600" cy="6086475"/>
            <wp:effectExtent b="0" l="0" r="0" t="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 b="0" l="0" r="0" t="77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864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  <w:rtl w:val="0"/>
        </w:rPr>
        <w:t xml:space="preserve">Table S1. Full differential expression results for transcription factors shown in Fig. 3. 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Median FC, log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FC, Wilcoxon rank-sum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-value, Welch’s t-test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-value, Wilcoxon FDR correction, Welch FDR correction, and directionality are presented for the 41 transcription factors. The TFs are organized by descending Wilcoxon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-value; the bolded line between CREB1 and HEXIM1 separates the nonsignificant Wilcoxon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-values (upper half) from the significant (lower half).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  <w:rtl w:val="0"/>
        </w:rPr>
        <w:t xml:space="preserve">Abbreviations: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FC, fold change; FDR, false discovery rate;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ATF1, activating transcription factor 1; CEBPD, CCAAT/enhancer-binding protein delta; CHD1, chromodomain helicase DNA binding protein 1; CREB1, cyclic AMP responsive element binding protein 1; E2F6, early region 2 transcription factor 6; E2F8, early region 2 transcription factor 8; EED, embryonic ectoderm development; ELF1, E74 like ETS transcription factor 1; ESR1, estrogen receptor 1; EZH2, enhancer of zeste 2 polycomb repressive complex 2 Subunit; FLI1, fli-1 proto-oncogene, ETS transcription factor; HDAC1, histone deacetylase 1; HDAC2, histone deacetylase 2; HEXIM1, HEXIM P-TEFb complex subunit 1; HIF1A hypoxia inducible factor 1 subunit alpha; JMJD6, jumonji domain containing 6, arginine demethylase and lysine hydroxylase; JUN, jun proto-oncogene, AP-1 transcription factor subunit; NFKB1, nuclear factor kappa B subunit 1; NRF1, nuclear respiratory factor 1; RELA, RELA proto-oncogene, NF-kB subunit; REST, RE1 silencing transcription Factor; SMAD4, SMAD family member 4; SMARCC1, SWI/SNF related BAF chromatin remodeling complex subunit C1; SS18, SS18 subunit of BAF chromatin remodeling complex; STAG1, STAG1 cohesin complex component; STAT3, signal transducer and activator of transcription 3; SUZ12, SUZ12 polycomb repressive complex 2 subunit; TAL1, TAL bHLH transcription factor 1, erythroid differentiation factor; TCF7L1, transcription factor 7 like 1; TEAD1 TEA domain transcription factor 1; TFAP4, transcription factor AP-4;; TRIM24, tripartite motif containing 24; TRIM28, tripartite motif containing 28; ZNF143, zinc protein 143.</w:t>
      </w:r>
    </w:p>
    <w:p w:rsidR="00000000" w:rsidDel="00000000" w:rsidP="00000000" w:rsidRDefault="00000000" w:rsidRPr="00000000" w14:paraId="00000007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114300" distT="114300" distL="114300" distR="114300">
                  <wp:extent cx="5810250" cy="1333500"/>
                  <wp:effectExtent b="0" l="0" r="0" t="0"/>
                  <wp:docPr id="4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0" cy="1333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  <w:rtl w:val="0"/>
        </w:rPr>
        <w:t xml:space="preserve">Table S2. Full survival analysis statistical values of TERT, SHH, and WNT genes (1, 3, and 6) stratified by molecular subtype.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Kaplan-Meier analysis for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TERT, SHH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WNT1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WNT3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, and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WNT6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 expression in GBM patients from TCGA_GBM HG-U133A data, stratified by molecular subtypes (Classical and All/Combined subtypes). For each gene and subtype pair, the table reports sample size and number of events (n/events) of both the high and low expression groups; median OS with 95% CI (mo, months), hazard ratio (HR) with 95% CI, log-rank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-value, and Gehan-Breslow-Wilcoxon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-value, and corresponding Benjamini-Hochberg-FDR corrected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-values were also included. Significance was reported as follows: **p&lt;0.01, *p&lt;0.05, ns=not significant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 or FDR-adjusted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&gt;0.05). Hazard ratios (HR &gt; 1) indicate poorer survival in the high expression group.</w: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rHeight w:val="3525.566406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</w:rPr>
              <w:drawing>
                <wp:inline distB="114300" distT="114300" distL="114300" distR="114300">
                  <wp:extent cx="2081213" cy="2124124"/>
                  <wp:effectExtent b="0" l="0" r="0" t="0"/>
                  <wp:docPr id="3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8"/>
                          <a:srcRect b="0" l="0" r="6115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1213" cy="212412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</w:rPr>
              <w:drawing>
                <wp:inline distB="114300" distT="114300" distL="114300" distR="114300">
                  <wp:extent cx="2084832" cy="2121408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 b="0" l="0" r="5866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4832" cy="212140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</w:t>
            </w:r>
          </w:p>
        </w:tc>
      </w:tr>
    </w:tbl>
    <w:p w:rsidR="00000000" w:rsidDel="00000000" w:rsidP="00000000" w:rsidRDefault="00000000" w:rsidRPr="00000000" w14:paraId="00000010">
      <w:pPr>
        <w:widowControl w:val="0"/>
        <w:spacing w:line="24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240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Fig S1.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WNT3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and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WNT6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Kaplan-Meier survival estimator stratified by gene expression in the classical subtype</w:t>
      </w:r>
    </w:p>
    <w:p w:rsidR="00000000" w:rsidDel="00000000" w:rsidP="00000000" w:rsidRDefault="00000000" w:rsidRPr="00000000" w14:paraId="00000012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[A-B] Kaplan-Meier survival curves comparing patients with high (red) and low (blue) expression of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WNT3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and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WNT6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using TCGA_GBM HG-U133A data. Statistical significance was evaluated using log-rank tests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&lt;0.05 was considered significant).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Events, group sizes (n), HRs, 95% CIs for HRs, median OS, 95% CIs for median OS, and Gehan-Breslow-Wilcoxon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-values are shown in Table S2. </w:t>
      </w:r>
    </w:p>
    <w:p w:rsidR="00000000" w:rsidDel="00000000" w:rsidP="00000000" w:rsidRDefault="00000000" w:rsidRPr="00000000" w14:paraId="00000013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943600" cy="1587500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87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Fig S2. STRING WNT1-WNT3-WNT6 association evidence decomposed.</w:t>
      </w:r>
    </w:p>
    <w:p w:rsidR="00000000" w:rsidDel="00000000" w:rsidP="00000000" w:rsidRDefault="00000000" w:rsidRPr="00000000" w14:paraId="00000015">
      <w:pPr>
        <w:widowControl w:val="0"/>
        <w:spacing w:line="240" w:lineRule="auto"/>
        <w:ind w:firstLine="72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confidence score in the titles is the combined evidence suggesting 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correlative link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which is further decomposed by the bar graph into: text-mining, database, experimental, co-expression, and co-occurrence-based evidence</w:t>
      </w:r>
      <w:r w:rsidDel="00000000" w:rsidR="00000000" w:rsidRPr="00000000">
        <w:rPr>
          <w:rtl w:val="0"/>
        </w:rPr>
      </w:r>
    </w:p>
    <w:sectPr>
      <w:headerReference r:id="rId11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spacing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image" Target="media/image3.png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5.png"/><Relationship Id="rId7" Type="http://schemas.openxmlformats.org/officeDocument/2006/relationships/image" Target="media/image2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