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62FE" w:rsidRDefault="00B35AE6">
      <w:r w:rsidRPr="00B35AE6">
        <w:rPr>
          <w:b/>
          <w:i/>
          <w:iCs/>
        </w:rPr>
        <w:t>Supplementary Table 1</w:t>
      </w:r>
      <w:r>
        <w:rPr>
          <w:i/>
          <w:iCs/>
        </w:rPr>
        <w:t>. Summary of the studies and contextual sources included in the narrative review </w:t>
      </w:r>
      <w:bookmarkStart w:id="0" w:name="_GoBack"/>
      <w:bookmarkEnd w:id="0"/>
    </w:p>
    <w:tbl>
      <w:tblPr>
        <w:tblpPr w:leftFromText="180" w:rightFromText="180" w:vertAnchor="text" w:horzAnchor="margin" w:tblpY="453"/>
        <w:tblW w:w="949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1118"/>
        <w:gridCol w:w="2440"/>
        <w:gridCol w:w="3493"/>
        <w:gridCol w:w="2442"/>
      </w:tblGrid>
      <w:tr w:rsidR="00B35AE6" w:rsidTr="00E039BA">
        <w:trPr>
          <w:trHeight w:val="203"/>
        </w:trPr>
        <w:tc>
          <w:tcPr>
            <w:tcW w:w="1118" w:type="dxa"/>
            <w:tcBorders>
              <w:top w:val="single" w:sz="4" w:space="0" w:color="999999"/>
              <w:left w:val="single" w:sz="4" w:space="0" w:color="999999"/>
              <w:bottom w:val="single" w:sz="4" w:space="0" w:color="999999"/>
              <w:right w:val="single" w:sz="4" w:space="0" w:color="999999"/>
            </w:tcBorders>
            <w:shd w:val="clear" w:color="auto" w:fill="E8E8E8"/>
            <w:tcMar>
              <w:top w:w="80" w:type="dxa"/>
              <w:left w:w="80" w:type="dxa"/>
              <w:bottom w:w="80" w:type="dxa"/>
              <w:right w:w="80" w:type="dxa"/>
            </w:tcMar>
            <w:vAlign w:val="center"/>
            <w:hideMark/>
          </w:tcPr>
          <w:p w:rsidR="00B35AE6" w:rsidRDefault="00B35AE6" w:rsidP="00E039BA">
            <w:pPr>
              <w:spacing w:before="30" w:after="30"/>
              <w:jc w:val="center"/>
            </w:pPr>
            <w:r>
              <w:rPr>
                <w:b/>
                <w:bCs/>
                <w:sz w:val="16"/>
                <w:szCs w:val="16"/>
              </w:rPr>
              <w:t>Source</w:t>
            </w:r>
          </w:p>
        </w:tc>
        <w:tc>
          <w:tcPr>
            <w:tcW w:w="2440" w:type="dxa"/>
            <w:tcBorders>
              <w:top w:val="single" w:sz="4" w:space="0" w:color="999999"/>
              <w:left w:val="single" w:sz="4" w:space="0" w:color="999999"/>
              <w:bottom w:val="single" w:sz="4" w:space="0" w:color="999999"/>
              <w:right w:val="single" w:sz="4" w:space="0" w:color="999999"/>
            </w:tcBorders>
            <w:shd w:val="clear" w:color="auto" w:fill="E8E8E8"/>
            <w:tcMar>
              <w:top w:w="80" w:type="dxa"/>
              <w:left w:w="80" w:type="dxa"/>
              <w:bottom w:w="80" w:type="dxa"/>
              <w:right w:w="80" w:type="dxa"/>
            </w:tcMar>
            <w:vAlign w:val="center"/>
            <w:hideMark/>
          </w:tcPr>
          <w:p w:rsidR="00B35AE6" w:rsidRDefault="00B35AE6" w:rsidP="00E039BA">
            <w:pPr>
              <w:spacing w:before="30" w:after="30"/>
              <w:jc w:val="center"/>
            </w:pPr>
            <w:r>
              <w:rPr>
                <w:b/>
                <w:bCs/>
                <w:sz w:val="16"/>
                <w:szCs w:val="16"/>
              </w:rPr>
              <w:t>Evidence Type / Population</w:t>
            </w:r>
          </w:p>
        </w:tc>
        <w:tc>
          <w:tcPr>
            <w:tcW w:w="3493" w:type="dxa"/>
            <w:tcBorders>
              <w:top w:val="single" w:sz="4" w:space="0" w:color="999999"/>
              <w:left w:val="single" w:sz="4" w:space="0" w:color="999999"/>
              <w:bottom w:val="single" w:sz="4" w:space="0" w:color="999999"/>
              <w:right w:val="single" w:sz="4" w:space="0" w:color="999999"/>
            </w:tcBorders>
            <w:shd w:val="clear" w:color="auto" w:fill="E8E8E8"/>
            <w:tcMar>
              <w:top w:w="80" w:type="dxa"/>
              <w:left w:w="80" w:type="dxa"/>
              <w:bottom w:w="80" w:type="dxa"/>
              <w:right w:w="80" w:type="dxa"/>
            </w:tcMar>
            <w:vAlign w:val="center"/>
            <w:hideMark/>
          </w:tcPr>
          <w:p w:rsidR="00B35AE6" w:rsidRDefault="00B35AE6" w:rsidP="00E039BA">
            <w:pPr>
              <w:spacing w:before="30" w:after="30"/>
              <w:jc w:val="center"/>
            </w:pPr>
            <w:r>
              <w:rPr>
                <w:b/>
                <w:bCs/>
                <w:sz w:val="16"/>
                <w:szCs w:val="16"/>
              </w:rPr>
              <w:t>Key Contribution</w:t>
            </w:r>
          </w:p>
        </w:tc>
        <w:tc>
          <w:tcPr>
            <w:tcW w:w="2442" w:type="dxa"/>
            <w:tcBorders>
              <w:top w:val="single" w:sz="4" w:space="0" w:color="999999"/>
              <w:left w:val="single" w:sz="4" w:space="0" w:color="999999"/>
              <w:bottom w:val="single" w:sz="4" w:space="0" w:color="999999"/>
              <w:right w:val="single" w:sz="4" w:space="0" w:color="999999"/>
            </w:tcBorders>
            <w:shd w:val="clear" w:color="auto" w:fill="E8E8E8"/>
            <w:tcMar>
              <w:top w:w="80" w:type="dxa"/>
              <w:left w:w="80" w:type="dxa"/>
              <w:bottom w:w="80" w:type="dxa"/>
              <w:right w:w="80" w:type="dxa"/>
            </w:tcMar>
            <w:vAlign w:val="center"/>
            <w:hideMark/>
          </w:tcPr>
          <w:p w:rsidR="00B35AE6" w:rsidRDefault="00B35AE6" w:rsidP="00E039BA">
            <w:pPr>
              <w:spacing w:before="30" w:after="30"/>
              <w:jc w:val="center"/>
            </w:pPr>
            <w:r>
              <w:rPr>
                <w:b/>
                <w:bCs/>
                <w:sz w:val="16"/>
                <w:szCs w:val="16"/>
              </w:rPr>
              <w:t>Evidence Note</w:t>
            </w:r>
          </w:p>
        </w:tc>
      </w:tr>
      <w:tr w:rsidR="00B35AE6" w:rsidTr="00E039BA">
        <w:trPr>
          <w:trHeight w:val="383"/>
        </w:trPr>
        <w:tc>
          <w:tcPr>
            <w:tcW w:w="1118"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proofErr w:type="spellStart"/>
            <w:r>
              <w:rPr>
                <w:sz w:val="16"/>
                <w:szCs w:val="16"/>
              </w:rPr>
              <w:t>Bere</w:t>
            </w:r>
            <w:proofErr w:type="spellEnd"/>
            <w:r>
              <w:rPr>
                <w:sz w:val="16"/>
                <w:szCs w:val="16"/>
              </w:rPr>
              <w:t xml:space="preserve"> et al. (2011)</w:t>
            </w:r>
          </w:p>
        </w:tc>
        <w:tc>
          <w:tcPr>
            <w:tcW w:w="2440"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Systematic video analysis; 20 World Cup ACL injury cases</w:t>
            </w:r>
          </w:p>
        </w:tc>
        <w:tc>
          <w:tcPr>
            <w:tcW w:w="3493"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Three mechanism categories: slip-catch, dynamic snowplow, and landing back-weighted.</w:t>
            </w:r>
          </w:p>
        </w:tc>
        <w:tc>
          <w:tcPr>
            <w:tcW w:w="2442"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Small elite case series; not generalizable to recreational skiers.</w:t>
            </w:r>
          </w:p>
        </w:tc>
      </w:tr>
      <w:tr w:rsidR="00B35AE6" w:rsidTr="00E039BA">
        <w:trPr>
          <w:trHeight w:val="383"/>
        </w:trPr>
        <w:tc>
          <w:tcPr>
            <w:tcW w:w="1118"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proofErr w:type="spellStart"/>
            <w:r>
              <w:rPr>
                <w:sz w:val="16"/>
                <w:szCs w:val="16"/>
              </w:rPr>
              <w:t>Bere</w:t>
            </w:r>
            <w:proofErr w:type="spellEnd"/>
            <w:r>
              <w:rPr>
                <w:sz w:val="16"/>
                <w:szCs w:val="16"/>
              </w:rPr>
              <w:t xml:space="preserve"> et al. (2014)</w:t>
            </w:r>
          </w:p>
        </w:tc>
        <w:tc>
          <w:tcPr>
            <w:tcW w:w="2440"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Six-season cohort of 510 World Cup alpine skiers.</w:t>
            </w:r>
          </w:p>
        </w:tc>
        <w:tc>
          <w:tcPr>
            <w:tcW w:w="3493"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Men had higher overall injury rates, but knee and ACL injury risk did not differ significantly by sex.</w:t>
            </w:r>
          </w:p>
        </w:tc>
        <w:tc>
          <w:tcPr>
            <w:tcW w:w="2442"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Retrospective interviews and only 41 ACL injuries limit precision and generalizability.</w:t>
            </w:r>
          </w:p>
        </w:tc>
      </w:tr>
      <w:tr w:rsidR="00B35AE6" w:rsidTr="00E039BA">
        <w:trPr>
          <w:trHeight w:val="383"/>
        </w:trPr>
        <w:tc>
          <w:tcPr>
            <w:tcW w:w="1118"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Bourne et al. (2019)</w:t>
            </w:r>
          </w:p>
        </w:tc>
        <w:tc>
          <w:tcPr>
            <w:tcW w:w="2440"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Clinical commentary; general sport fatigue and ACL literature</w:t>
            </w:r>
          </w:p>
        </w:tc>
        <w:tc>
          <w:tcPr>
            <w:tcW w:w="3493"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 xml:space="preserve">Concluded that </w:t>
            </w:r>
            <w:proofErr w:type="gramStart"/>
            <w:r>
              <w:rPr>
                <w:sz w:val="16"/>
                <w:szCs w:val="16"/>
              </w:rPr>
              <w:t>evidence linking</w:t>
            </w:r>
            <w:proofErr w:type="gramEnd"/>
            <w:r>
              <w:rPr>
                <w:sz w:val="16"/>
                <w:szCs w:val="16"/>
              </w:rPr>
              <w:t xml:space="preserve"> fatigue with ACL injury-related biomechanics remains inconsistent.</w:t>
            </w:r>
          </w:p>
        </w:tc>
        <w:tc>
          <w:tcPr>
            <w:tcW w:w="2442"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Non-ski and mechanistic, so it neither supports nor rules out fatigue as a risk factor on snow.</w:t>
            </w:r>
          </w:p>
        </w:tc>
      </w:tr>
      <w:tr w:rsidR="00B35AE6" w:rsidTr="00E039BA">
        <w:trPr>
          <w:trHeight w:val="383"/>
        </w:trPr>
        <w:tc>
          <w:tcPr>
            <w:tcW w:w="1118"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proofErr w:type="spellStart"/>
            <w:r>
              <w:rPr>
                <w:sz w:val="16"/>
                <w:szCs w:val="16"/>
              </w:rPr>
              <w:t>Brophy</w:t>
            </w:r>
            <w:proofErr w:type="spellEnd"/>
            <w:r>
              <w:rPr>
                <w:sz w:val="16"/>
                <w:szCs w:val="16"/>
              </w:rPr>
              <w:t xml:space="preserve"> &amp; Lowry (2023)</w:t>
            </w:r>
          </w:p>
        </w:tc>
        <w:tc>
          <w:tcPr>
            <w:tcW w:w="2440"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Clinical practice guideline summary; general ACL patients</w:t>
            </w:r>
          </w:p>
        </w:tc>
        <w:tc>
          <w:tcPr>
            <w:tcW w:w="3493"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 xml:space="preserve">Supports </w:t>
            </w:r>
            <w:proofErr w:type="spellStart"/>
            <w:r>
              <w:rPr>
                <w:sz w:val="16"/>
                <w:szCs w:val="16"/>
              </w:rPr>
              <w:t>autograft</w:t>
            </w:r>
            <w:proofErr w:type="spellEnd"/>
            <w:r>
              <w:rPr>
                <w:sz w:val="16"/>
                <w:szCs w:val="16"/>
              </w:rPr>
              <w:t xml:space="preserve"> over allograft in young or active patients and individualized graft selection.</w:t>
            </w:r>
          </w:p>
        </w:tc>
        <w:tc>
          <w:tcPr>
            <w:tcW w:w="2442"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Non-ski-specific secondary guidance; not primary outcome data.</w:t>
            </w:r>
          </w:p>
        </w:tc>
      </w:tr>
      <w:tr w:rsidR="00B35AE6" w:rsidTr="00E039BA">
        <w:trPr>
          <w:trHeight w:val="383"/>
        </w:trPr>
        <w:tc>
          <w:tcPr>
            <w:tcW w:w="1118"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Chen et al. (2008)</w:t>
            </w:r>
          </w:p>
        </w:tc>
        <w:tc>
          <w:tcPr>
            <w:tcW w:w="2440"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Clinical review of MCL injuries; general orthopedic population</w:t>
            </w:r>
          </w:p>
        </w:tc>
        <w:tc>
          <w:tcPr>
            <w:tcW w:w="3493"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 xml:space="preserve">Summarized MCL grading and the largely </w:t>
            </w:r>
            <w:proofErr w:type="spellStart"/>
            <w:r>
              <w:rPr>
                <w:sz w:val="16"/>
                <w:szCs w:val="16"/>
              </w:rPr>
              <w:t>nonoperative</w:t>
            </w:r>
            <w:proofErr w:type="spellEnd"/>
            <w:r>
              <w:rPr>
                <w:sz w:val="16"/>
                <w:szCs w:val="16"/>
              </w:rPr>
              <w:t xml:space="preserve"> management of isolated tears.</w:t>
            </w:r>
          </w:p>
        </w:tc>
        <w:tc>
          <w:tcPr>
            <w:tcW w:w="2442"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Non-ski-specific and older; the combined injuries of typical skiers may require different management.</w:t>
            </w:r>
          </w:p>
        </w:tc>
      </w:tr>
      <w:tr w:rsidR="00B35AE6" w:rsidTr="00E039BA">
        <w:trPr>
          <w:trHeight w:val="383"/>
        </w:trPr>
        <w:tc>
          <w:tcPr>
            <w:tcW w:w="1118"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Davey et al. (2019)</w:t>
            </w:r>
          </w:p>
        </w:tc>
        <w:tc>
          <w:tcPr>
            <w:tcW w:w="2440"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Narrative clinical review of injury in recreational alpine skiing</w:t>
            </w:r>
          </w:p>
        </w:tc>
        <w:tc>
          <w:tcPr>
            <w:tcW w:w="3493"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Summarized skiing injury epidemiology, knee mechanisms, equipment, and prevention.</w:t>
            </w:r>
          </w:p>
        </w:tc>
        <w:tc>
          <w:tcPr>
            <w:tcW w:w="2442"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 xml:space="preserve">Broad secondary source: any figure taken from it </w:t>
            </w:r>
            <w:proofErr w:type="gramStart"/>
            <w:r>
              <w:rPr>
                <w:sz w:val="16"/>
                <w:szCs w:val="16"/>
              </w:rPr>
              <w:t>should be traced</w:t>
            </w:r>
            <w:proofErr w:type="gramEnd"/>
            <w:r>
              <w:rPr>
                <w:sz w:val="16"/>
                <w:szCs w:val="16"/>
              </w:rPr>
              <w:t xml:space="preserve"> to the primary study before it carries weight.</w:t>
            </w:r>
          </w:p>
        </w:tc>
      </w:tr>
      <w:tr w:rsidR="00B35AE6" w:rsidTr="00E039BA">
        <w:trPr>
          <w:trHeight w:val="563"/>
        </w:trPr>
        <w:tc>
          <w:tcPr>
            <w:tcW w:w="1118"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proofErr w:type="spellStart"/>
            <w:r>
              <w:rPr>
                <w:sz w:val="16"/>
                <w:szCs w:val="16"/>
              </w:rPr>
              <w:t>Diermeier</w:t>
            </w:r>
            <w:proofErr w:type="spellEnd"/>
            <w:r>
              <w:rPr>
                <w:sz w:val="16"/>
                <w:szCs w:val="16"/>
              </w:rPr>
              <w:t xml:space="preserve"> et al. (2020)</w:t>
            </w:r>
          </w:p>
        </w:tc>
        <w:tc>
          <w:tcPr>
            <w:tcW w:w="2440"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International Delphi consensus; 66 ACL experts; general ACL population</w:t>
            </w:r>
          </w:p>
        </w:tc>
        <w:tc>
          <w:tcPr>
            <w:tcW w:w="3493"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 xml:space="preserve">Recommended individualized operative or </w:t>
            </w:r>
            <w:proofErr w:type="spellStart"/>
            <w:r>
              <w:rPr>
                <w:sz w:val="16"/>
                <w:szCs w:val="16"/>
              </w:rPr>
              <w:t>nonoperative</w:t>
            </w:r>
            <w:proofErr w:type="spellEnd"/>
            <w:r>
              <w:rPr>
                <w:sz w:val="16"/>
                <w:szCs w:val="16"/>
              </w:rPr>
              <w:t xml:space="preserve"> treatment based on instability, activity demands, associated injuries, and patient goals.</w:t>
            </w:r>
          </w:p>
        </w:tc>
        <w:tc>
          <w:tcPr>
            <w:tcW w:w="2442"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The backbone of the treatment section. Expert consensus rather than comparative trial data and not written with skiers in mind.</w:t>
            </w:r>
          </w:p>
        </w:tc>
      </w:tr>
      <w:tr w:rsidR="00B35AE6" w:rsidTr="00E039BA">
        <w:trPr>
          <w:trHeight w:val="923"/>
        </w:trPr>
        <w:tc>
          <w:tcPr>
            <w:tcW w:w="1118"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proofErr w:type="spellStart"/>
            <w:r>
              <w:rPr>
                <w:sz w:val="16"/>
                <w:szCs w:val="16"/>
              </w:rPr>
              <w:t>Ettlinger</w:t>
            </w:r>
            <w:proofErr w:type="spellEnd"/>
            <w:r>
              <w:rPr>
                <w:sz w:val="16"/>
                <w:szCs w:val="16"/>
              </w:rPr>
              <w:t xml:space="preserve"> et al. (1995)</w:t>
            </w:r>
          </w:p>
        </w:tc>
        <w:tc>
          <w:tcPr>
            <w:tcW w:w="2440"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Controlled field intervention; ski-area staff at 20 intervention and 22 control areas</w:t>
            </w:r>
          </w:p>
        </w:tc>
        <w:tc>
          <w:tcPr>
            <w:tcW w:w="3493"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 xml:space="preserve">Awareness training built around the phantom-foot and boot-induced anterior drawer mechanisms </w:t>
            </w:r>
            <w:proofErr w:type="gramStart"/>
            <w:r>
              <w:rPr>
                <w:sz w:val="16"/>
                <w:szCs w:val="16"/>
              </w:rPr>
              <w:t>was followed</w:t>
            </w:r>
            <w:proofErr w:type="gramEnd"/>
            <w:r>
              <w:rPr>
                <w:sz w:val="16"/>
                <w:szCs w:val="16"/>
              </w:rPr>
              <w:t xml:space="preserve"> by a 62% decline in serious knee sprains among trained staff, with no comparable decline in controls.</w:t>
            </w:r>
          </w:p>
        </w:tc>
        <w:tc>
          <w:tcPr>
            <w:tcW w:w="2442"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Older, nonrandomized study of experienced ski staff; generalizability is limited.</w:t>
            </w:r>
          </w:p>
        </w:tc>
      </w:tr>
      <w:tr w:rsidR="00B35AE6" w:rsidTr="00E039BA">
        <w:trPr>
          <w:trHeight w:val="743"/>
        </w:trPr>
        <w:tc>
          <w:tcPr>
            <w:tcW w:w="1118"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proofErr w:type="spellStart"/>
            <w:r>
              <w:rPr>
                <w:sz w:val="16"/>
                <w:szCs w:val="16"/>
              </w:rPr>
              <w:t>Flørenes</w:t>
            </w:r>
            <w:proofErr w:type="spellEnd"/>
            <w:r>
              <w:rPr>
                <w:sz w:val="16"/>
                <w:szCs w:val="16"/>
              </w:rPr>
              <w:t xml:space="preserve"> et al. (2009)</w:t>
            </w:r>
          </w:p>
        </w:tc>
        <w:tc>
          <w:tcPr>
            <w:tcW w:w="2440"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Retrospective injury surveillance by end-of-season athlete interview; 521 World Cup skiers, 191 acute injuries</w:t>
            </w:r>
          </w:p>
        </w:tc>
        <w:tc>
          <w:tcPr>
            <w:tcW w:w="3493"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Injury rates rose with the speed of the discipline, with downhill and super-G above the technical events.</w:t>
            </w:r>
          </w:p>
        </w:tc>
        <w:tc>
          <w:tcPr>
            <w:tcW w:w="2442"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Based on end-of-season interviews and limited to elite World Cup skiers.</w:t>
            </w:r>
          </w:p>
        </w:tc>
      </w:tr>
      <w:tr w:rsidR="00B35AE6" w:rsidTr="00E039BA">
        <w:trPr>
          <w:trHeight w:val="743"/>
        </w:trPr>
        <w:tc>
          <w:tcPr>
            <w:tcW w:w="1118"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proofErr w:type="spellStart"/>
            <w:r>
              <w:rPr>
                <w:sz w:val="16"/>
                <w:szCs w:val="16"/>
              </w:rPr>
              <w:t>Haaland</w:t>
            </w:r>
            <w:proofErr w:type="spellEnd"/>
            <w:r>
              <w:rPr>
                <w:sz w:val="16"/>
                <w:szCs w:val="16"/>
              </w:rPr>
              <w:t xml:space="preserve"> et al. (2016)</w:t>
            </w:r>
          </w:p>
        </w:tc>
        <w:tc>
          <w:tcPr>
            <w:tcW w:w="2440"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 xml:space="preserve">Nine-season World Cup surveillance; before and after the minimum </w:t>
            </w:r>
            <w:proofErr w:type="spellStart"/>
            <w:r>
              <w:rPr>
                <w:sz w:val="16"/>
                <w:szCs w:val="16"/>
              </w:rPr>
              <w:t>sidecut</w:t>
            </w:r>
            <w:proofErr w:type="spellEnd"/>
            <w:r>
              <w:rPr>
                <w:sz w:val="16"/>
                <w:szCs w:val="16"/>
              </w:rPr>
              <w:t>-radius and ski-length regulations</w:t>
            </w:r>
          </w:p>
        </w:tc>
        <w:tc>
          <w:tcPr>
            <w:tcW w:w="3493"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Overall injury rates were lower after the regulations, but knee and ACL injury rates were not significantly lower and the pattern differed between women and men.</w:t>
            </w:r>
          </w:p>
        </w:tc>
        <w:tc>
          <w:tcPr>
            <w:tcW w:w="2442"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Observational before-and-after comparison; confounding and limited subgroup power prevent causal conclusions.</w:t>
            </w:r>
          </w:p>
        </w:tc>
      </w:tr>
      <w:tr w:rsidR="00B35AE6" w:rsidTr="00E039BA">
        <w:trPr>
          <w:trHeight w:val="563"/>
        </w:trPr>
        <w:tc>
          <w:tcPr>
            <w:tcW w:w="1118"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Hermann et al. (2023)</w:t>
            </w:r>
          </w:p>
        </w:tc>
        <w:tc>
          <w:tcPr>
            <w:tcW w:w="2440"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Field EMG study; 38 recreational female skiers over 40 of age</w:t>
            </w:r>
          </w:p>
        </w:tc>
        <w:tc>
          <w:tcPr>
            <w:tcW w:w="3493"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Tracked thigh-muscle fatigue across a skiing day and found no regenerative effect from a 45-minute lunch break.</w:t>
            </w:r>
          </w:p>
        </w:tc>
        <w:tc>
          <w:tcPr>
            <w:tcW w:w="2442"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Small age- and sex-specific sample; injury incidence was not measured.</w:t>
            </w:r>
          </w:p>
        </w:tc>
      </w:tr>
      <w:tr w:rsidR="00B35AE6" w:rsidTr="00E039BA">
        <w:trPr>
          <w:trHeight w:val="563"/>
        </w:trPr>
        <w:tc>
          <w:tcPr>
            <w:tcW w:w="1118"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 xml:space="preserve">Hermann &amp; </w:t>
            </w:r>
            <w:proofErr w:type="spellStart"/>
            <w:r>
              <w:rPr>
                <w:sz w:val="16"/>
                <w:szCs w:val="16"/>
              </w:rPr>
              <w:t>Senner</w:t>
            </w:r>
            <w:proofErr w:type="spellEnd"/>
            <w:r>
              <w:rPr>
                <w:sz w:val="16"/>
                <w:szCs w:val="16"/>
              </w:rPr>
              <w:t xml:space="preserve"> (2021)</w:t>
            </w:r>
          </w:p>
        </w:tc>
        <w:tc>
          <w:tcPr>
            <w:tcW w:w="2440"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Technical review and conceptual paper on ski binding design</w:t>
            </w:r>
          </w:p>
        </w:tc>
        <w:tc>
          <w:tcPr>
            <w:tcW w:w="3493"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Proposed a mechatronic binding using mechanical loads together with kinematic and physiological inputs.</w:t>
            </w:r>
          </w:p>
        </w:tc>
        <w:tc>
          <w:tcPr>
            <w:tcW w:w="2442"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 xml:space="preserve">Cited as a design concept and an open research problem. No device </w:t>
            </w:r>
            <w:proofErr w:type="gramStart"/>
            <w:r>
              <w:rPr>
                <w:sz w:val="16"/>
                <w:szCs w:val="16"/>
              </w:rPr>
              <w:t>was built or tested, so nothing in it supports a prevention claim</w:t>
            </w:r>
            <w:proofErr w:type="gramEnd"/>
            <w:r>
              <w:rPr>
                <w:sz w:val="16"/>
                <w:szCs w:val="16"/>
              </w:rPr>
              <w:t>.</w:t>
            </w:r>
          </w:p>
        </w:tc>
      </w:tr>
      <w:tr w:rsidR="00B35AE6" w:rsidTr="00E039BA">
        <w:trPr>
          <w:trHeight w:val="563"/>
        </w:trPr>
        <w:tc>
          <w:tcPr>
            <w:tcW w:w="1118"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proofErr w:type="spellStart"/>
            <w:r>
              <w:rPr>
                <w:sz w:val="16"/>
                <w:szCs w:val="16"/>
              </w:rPr>
              <w:t>Hetsroni</w:t>
            </w:r>
            <w:proofErr w:type="spellEnd"/>
            <w:r>
              <w:rPr>
                <w:sz w:val="16"/>
                <w:szCs w:val="16"/>
              </w:rPr>
              <w:t xml:space="preserve"> et al. (2013)</w:t>
            </w:r>
          </w:p>
        </w:tc>
        <w:tc>
          <w:tcPr>
            <w:tcW w:w="2440"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 xml:space="preserve">Case series of 11 recreational skiers treated </w:t>
            </w:r>
            <w:proofErr w:type="spellStart"/>
            <w:r>
              <w:rPr>
                <w:sz w:val="16"/>
                <w:szCs w:val="16"/>
              </w:rPr>
              <w:t>nonoperatively</w:t>
            </w:r>
            <w:proofErr w:type="spellEnd"/>
            <w:r>
              <w:rPr>
                <w:sz w:val="16"/>
                <w:szCs w:val="16"/>
              </w:rPr>
              <w:t xml:space="preserve"> after ACL rupture.</w:t>
            </w:r>
          </w:p>
        </w:tc>
        <w:tc>
          <w:tcPr>
            <w:tcW w:w="3493"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Patients with low-grade Lachman and negative pivot-shift tests at 6–12 weeks generally had favorable outcomes.</w:t>
            </w:r>
          </w:p>
        </w:tc>
        <w:tc>
          <w:tcPr>
            <w:tcW w:w="2442"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 xml:space="preserve">Small, highly selected sample without a surgical comparison; activity levels declined during </w:t>
            </w:r>
            <w:r>
              <w:rPr>
                <w:sz w:val="16"/>
                <w:szCs w:val="16"/>
              </w:rPr>
              <w:lastRenderedPageBreak/>
              <w:t>follow-up.</w:t>
            </w:r>
          </w:p>
        </w:tc>
      </w:tr>
      <w:tr w:rsidR="00B35AE6" w:rsidTr="00E039BA">
        <w:trPr>
          <w:trHeight w:val="383"/>
        </w:trPr>
        <w:tc>
          <w:tcPr>
            <w:tcW w:w="1118"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lastRenderedPageBreak/>
              <w:t xml:space="preserve">Jordan, </w:t>
            </w:r>
            <w:proofErr w:type="spellStart"/>
            <w:r>
              <w:rPr>
                <w:sz w:val="16"/>
                <w:szCs w:val="16"/>
              </w:rPr>
              <w:t>Aagaard</w:t>
            </w:r>
            <w:proofErr w:type="spellEnd"/>
            <w:r>
              <w:rPr>
                <w:sz w:val="16"/>
                <w:szCs w:val="16"/>
              </w:rPr>
              <w:t>, and Herzog (2017)</w:t>
            </w:r>
          </w:p>
        </w:tc>
        <w:tc>
          <w:tcPr>
            <w:tcW w:w="2440"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 xml:space="preserve">Narrative review; alpine ski racing ACL injury and </w:t>
            </w:r>
            <w:proofErr w:type="spellStart"/>
            <w:r>
              <w:rPr>
                <w:sz w:val="16"/>
                <w:szCs w:val="16"/>
              </w:rPr>
              <w:t>reinjury</w:t>
            </w:r>
            <w:proofErr w:type="spellEnd"/>
          </w:p>
        </w:tc>
        <w:tc>
          <w:tcPr>
            <w:tcW w:w="3493"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Synthesized epidemiology, mechanisms, risk factors, rehabilitation, and return-to-sport issues.</w:t>
            </w:r>
          </w:p>
        </w:tc>
        <w:tc>
          <w:tcPr>
            <w:tcW w:w="2442"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 xml:space="preserve">Secondary evidence focused on competitive skiers; precise claims </w:t>
            </w:r>
            <w:proofErr w:type="gramStart"/>
            <w:r>
              <w:rPr>
                <w:sz w:val="16"/>
                <w:szCs w:val="16"/>
              </w:rPr>
              <w:t>should be traced</w:t>
            </w:r>
            <w:proofErr w:type="gramEnd"/>
            <w:r>
              <w:rPr>
                <w:sz w:val="16"/>
                <w:szCs w:val="16"/>
              </w:rPr>
              <w:t xml:space="preserve"> to primary studies.</w:t>
            </w:r>
          </w:p>
        </w:tc>
      </w:tr>
      <w:tr w:rsidR="00B35AE6" w:rsidTr="00E039BA">
        <w:trPr>
          <w:trHeight w:val="563"/>
        </w:trPr>
        <w:tc>
          <w:tcPr>
            <w:tcW w:w="1118"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lang w:val="fr-FR"/>
              </w:rPr>
              <w:t>Jordan, Doyle-Baker, et al. (2017)</w:t>
            </w:r>
          </w:p>
        </w:tc>
        <w:tc>
          <w:tcPr>
            <w:tcW w:w="2440"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Retrospective case series; 28 primary ACLR reports from 32 elite racers</w:t>
            </w:r>
          </w:p>
        </w:tc>
        <w:tc>
          <w:tcPr>
            <w:tcW w:w="3493"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Concurrent pathology was present in 82% of reconstructed knees, frequently involving meniscal, chondral, or MCL injury.</w:t>
            </w:r>
          </w:p>
        </w:tc>
        <w:tc>
          <w:tcPr>
            <w:tcW w:w="2442"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Small specialized clinical sample limited to elite ski racers.</w:t>
            </w:r>
          </w:p>
        </w:tc>
      </w:tr>
      <w:tr w:rsidR="00B35AE6" w:rsidTr="00E039BA">
        <w:trPr>
          <w:trHeight w:val="743"/>
        </w:trPr>
        <w:tc>
          <w:tcPr>
            <w:tcW w:w="1118"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proofErr w:type="spellStart"/>
            <w:r>
              <w:rPr>
                <w:sz w:val="16"/>
                <w:szCs w:val="16"/>
              </w:rPr>
              <w:t>Kröll</w:t>
            </w:r>
            <w:proofErr w:type="spellEnd"/>
            <w:r>
              <w:rPr>
                <w:sz w:val="16"/>
                <w:szCs w:val="16"/>
              </w:rPr>
              <w:t xml:space="preserve"> et al. (2016)</w:t>
            </w:r>
          </w:p>
        </w:tc>
        <w:tc>
          <w:tcPr>
            <w:tcW w:w="2440"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On-snow biomechanical study; five European Cup giant-slalom racers instrumented over a six-gate section.</w:t>
            </w:r>
          </w:p>
        </w:tc>
        <w:tc>
          <w:tcPr>
            <w:tcW w:w="3493"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 xml:space="preserve">Greater ski </w:t>
            </w:r>
            <w:proofErr w:type="spellStart"/>
            <w:r>
              <w:rPr>
                <w:sz w:val="16"/>
                <w:szCs w:val="16"/>
              </w:rPr>
              <w:t>sidecut</w:t>
            </w:r>
            <w:proofErr w:type="spellEnd"/>
            <w:r>
              <w:rPr>
                <w:sz w:val="16"/>
                <w:szCs w:val="16"/>
              </w:rPr>
              <w:t xml:space="preserve"> radius was associated with lower average kinetic energy through the section.</w:t>
            </w:r>
          </w:p>
        </w:tc>
        <w:tc>
          <w:tcPr>
            <w:tcW w:w="2442"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 xml:space="preserve">Cited as the mechanistic rationale behind the FIS geometry rules. Five </w:t>
            </w:r>
            <w:proofErr w:type="gramStart"/>
            <w:r>
              <w:rPr>
                <w:sz w:val="16"/>
                <w:szCs w:val="16"/>
              </w:rPr>
              <w:t>athletes,</w:t>
            </w:r>
            <w:proofErr w:type="gramEnd"/>
            <w:r>
              <w:rPr>
                <w:sz w:val="16"/>
                <w:szCs w:val="16"/>
              </w:rPr>
              <w:t xml:space="preserve"> and kinetic energy is a surrogate: no injuries were observed, so the study cannot show a prevention effect.</w:t>
            </w:r>
          </w:p>
        </w:tc>
      </w:tr>
      <w:tr w:rsidR="00B35AE6" w:rsidTr="00E039BA">
        <w:trPr>
          <w:trHeight w:val="563"/>
        </w:trPr>
        <w:tc>
          <w:tcPr>
            <w:tcW w:w="1118"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proofErr w:type="spellStart"/>
            <w:r>
              <w:rPr>
                <w:sz w:val="16"/>
                <w:szCs w:val="16"/>
              </w:rPr>
              <w:t>Logerstedt</w:t>
            </w:r>
            <w:proofErr w:type="spellEnd"/>
            <w:r>
              <w:rPr>
                <w:sz w:val="16"/>
                <w:szCs w:val="16"/>
              </w:rPr>
              <w:t xml:space="preserve"> et al. (2018)</w:t>
            </w:r>
          </w:p>
        </w:tc>
        <w:tc>
          <w:tcPr>
            <w:tcW w:w="2440"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Evidence-based clinical guideline; general meniscal and cartilage lesions</w:t>
            </w:r>
          </w:p>
        </w:tc>
        <w:tc>
          <w:tcPr>
            <w:tcW w:w="3493"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Provided recommendations for examination, treatment, rehabilitation, and functional assessment.</w:t>
            </w:r>
          </w:p>
        </w:tc>
        <w:tc>
          <w:tcPr>
            <w:tcW w:w="2442"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Non-ski-specific guideline; not a skier outcome study.</w:t>
            </w:r>
          </w:p>
        </w:tc>
      </w:tr>
      <w:tr w:rsidR="00B35AE6" w:rsidTr="00E039BA">
        <w:trPr>
          <w:trHeight w:val="1103"/>
        </w:trPr>
        <w:tc>
          <w:tcPr>
            <w:tcW w:w="1118"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Morris et al. (2025)</w:t>
            </w:r>
          </w:p>
        </w:tc>
        <w:tc>
          <w:tcPr>
            <w:tcW w:w="2440"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Retrospective on-snow performance cohort; 30 ski racers after ACL reconstruction and 30 one-to-one propensity-matched control racers.</w:t>
            </w:r>
          </w:p>
        </w:tc>
        <w:tc>
          <w:tcPr>
            <w:tcW w:w="3493"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Twenty-seven of 30 ACL-reconstructed racers returned to their preinjury competition level</w:t>
            </w:r>
            <w:proofErr w:type="gramStart"/>
            <w:r>
              <w:rPr>
                <w:sz w:val="16"/>
                <w:szCs w:val="16"/>
              </w:rPr>
              <w:t>;</w:t>
            </w:r>
            <w:proofErr w:type="gramEnd"/>
            <w:r>
              <w:rPr>
                <w:sz w:val="16"/>
                <w:szCs w:val="16"/>
              </w:rPr>
              <w:t xml:space="preserve"> 16 of 30 improved FIS points and 13 of 30 improved FIS rank within three years. In the matched control group, 18 of 30 improved FIS points and 19 of 30 improved FIS rank.</w:t>
            </w:r>
          </w:p>
        </w:tc>
        <w:tc>
          <w:tcPr>
            <w:tcW w:w="2442"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Small observational elite-sport cohort; matching reduces but does not eliminate residual confounding, and performance trajectories may differ for reasons unrelated to ACL reconstruction.</w:t>
            </w:r>
          </w:p>
        </w:tc>
      </w:tr>
      <w:tr w:rsidR="00B35AE6" w:rsidTr="00E039BA">
        <w:trPr>
          <w:trHeight w:val="563"/>
        </w:trPr>
        <w:tc>
          <w:tcPr>
            <w:tcW w:w="1118"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proofErr w:type="spellStart"/>
            <w:r>
              <w:rPr>
                <w:sz w:val="16"/>
                <w:szCs w:val="16"/>
              </w:rPr>
              <w:t>Paletta</w:t>
            </w:r>
            <w:proofErr w:type="spellEnd"/>
            <w:r>
              <w:rPr>
                <w:sz w:val="16"/>
                <w:szCs w:val="16"/>
              </w:rPr>
              <w:t xml:space="preserve"> &amp; Warren (1994)</w:t>
            </w:r>
          </w:p>
        </w:tc>
        <w:tc>
          <w:tcPr>
            <w:tcW w:w="2440"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Clinical review; knee injuries in alpine skiing</w:t>
            </w:r>
          </w:p>
        </w:tc>
        <w:tc>
          <w:tcPr>
            <w:tcW w:w="3493"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Summarized treatment and rehabilitation considerations for ACL, MCL, meniscal, and cartilage injuries.</w:t>
            </w:r>
          </w:p>
        </w:tc>
        <w:tc>
          <w:tcPr>
            <w:tcW w:w="2442"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Older secondary source; current clinical recommendations should also use newer guidance.</w:t>
            </w:r>
          </w:p>
        </w:tc>
      </w:tr>
      <w:tr w:rsidR="00B35AE6" w:rsidTr="00E039BA">
        <w:trPr>
          <w:trHeight w:val="563"/>
        </w:trPr>
        <w:tc>
          <w:tcPr>
            <w:tcW w:w="1118"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proofErr w:type="spellStart"/>
            <w:r>
              <w:rPr>
                <w:sz w:val="16"/>
                <w:szCs w:val="16"/>
              </w:rPr>
              <w:t>Paterno</w:t>
            </w:r>
            <w:proofErr w:type="spellEnd"/>
            <w:r>
              <w:rPr>
                <w:sz w:val="16"/>
                <w:szCs w:val="16"/>
              </w:rPr>
              <w:t xml:space="preserve"> et al. (2018)</w:t>
            </w:r>
          </w:p>
        </w:tc>
        <w:tc>
          <w:tcPr>
            <w:tcW w:w="2440"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Prospective pilot cohort; 40 non-ski athletes after ACLR</w:t>
            </w:r>
          </w:p>
        </w:tc>
        <w:tc>
          <w:tcPr>
            <w:tcW w:w="3493"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Greater fear was associated with poorer functional performance and a second ACL injury within 24 months.</w:t>
            </w:r>
          </w:p>
        </w:tc>
        <w:tc>
          <w:tcPr>
            <w:tcW w:w="2442"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Small non-ski sample; association does not establish causation.</w:t>
            </w:r>
          </w:p>
        </w:tc>
      </w:tr>
      <w:tr w:rsidR="00B35AE6" w:rsidTr="00E039BA">
        <w:trPr>
          <w:trHeight w:val="563"/>
        </w:trPr>
        <w:tc>
          <w:tcPr>
            <w:tcW w:w="1118"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proofErr w:type="spellStart"/>
            <w:r>
              <w:rPr>
                <w:sz w:val="16"/>
                <w:szCs w:val="16"/>
              </w:rPr>
              <w:t>Posch</w:t>
            </w:r>
            <w:proofErr w:type="spellEnd"/>
            <w:r>
              <w:rPr>
                <w:sz w:val="16"/>
                <w:szCs w:val="16"/>
              </w:rPr>
              <w:t xml:space="preserve"> et al. (2021)</w:t>
            </w:r>
          </w:p>
        </w:tc>
        <w:tc>
          <w:tcPr>
            <w:tcW w:w="2440"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Retrospective clinic study; 282 hospitalized recreational skiers with MRI-confirmed knee injuries</w:t>
            </w:r>
          </w:p>
        </w:tc>
        <w:tc>
          <w:tcPr>
            <w:tcW w:w="3493"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The ACL was involved in all recorded knee injuries, and 64.5% included another knee injury.</w:t>
            </w:r>
          </w:p>
        </w:tc>
        <w:tc>
          <w:tcPr>
            <w:tcW w:w="2442"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 xml:space="preserve">Hospital-based sample may </w:t>
            </w:r>
            <w:proofErr w:type="spellStart"/>
            <w:r>
              <w:rPr>
                <w:sz w:val="16"/>
                <w:szCs w:val="16"/>
              </w:rPr>
              <w:t>overrepresent</w:t>
            </w:r>
            <w:proofErr w:type="spellEnd"/>
            <w:r>
              <w:rPr>
                <w:sz w:val="16"/>
                <w:szCs w:val="16"/>
              </w:rPr>
              <w:t xml:space="preserve"> severe injuries</w:t>
            </w:r>
            <w:proofErr w:type="gramStart"/>
            <w:r>
              <w:rPr>
                <w:sz w:val="16"/>
                <w:szCs w:val="16"/>
              </w:rPr>
              <w:t>;</w:t>
            </w:r>
            <w:proofErr w:type="gramEnd"/>
            <w:r>
              <w:rPr>
                <w:sz w:val="16"/>
                <w:szCs w:val="16"/>
              </w:rPr>
              <w:t xml:space="preserve"> not a population-incidence study.</w:t>
            </w:r>
          </w:p>
        </w:tc>
      </w:tr>
      <w:tr w:rsidR="00B35AE6" w:rsidTr="00E039BA">
        <w:trPr>
          <w:trHeight w:val="923"/>
        </w:trPr>
        <w:tc>
          <w:tcPr>
            <w:tcW w:w="1118"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proofErr w:type="spellStart"/>
            <w:r>
              <w:rPr>
                <w:sz w:val="16"/>
                <w:szCs w:val="16"/>
              </w:rPr>
              <w:t>Posch</w:t>
            </w:r>
            <w:proofErr w:type="spellEnd"/>
            <w:r>
              <w:rPr>
                <w:sz w:val="16"/>
                <w:szCs w:val="16"/>
              </w:rPr>
              <w:t xml:space="preserve"> et al. (2022)</w:t>
            </w:r>
          </w:p>
        </w:tc>
        <w:tc>
          <w:tcPr>
            <w:tcW w:w="2440"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Retrospective questionnaire and equipment study; 392 ACL-injured recreational skiers</w:t>
            </w:r>
          </w:p>
        </w:tc>
        <w:tc>
          <w:tcPr>
            <w:tcW w:w="3493"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 xml:space="preserve">Forward fall with body rotation was the most frequently reported mechanism (about 63%), </w:t>
            </w:r>
            <w:proofErr w:type="gramStart"/>
            <w:r>
              <w:rPr>
                <w:sz w:val="16"/>
                <w:szCs w:val="16"/>
              </w:rPr>
              <w:t>roughly</w:t>
            </w:r>
            <w:proofErr w:type="gramEnd"/>
            <w:r>
              <w:rPr>
                <w:sz w:val="16"/>
                <w:szCs w:val="16"/>
              </w:rPr>
              <w:t xml:space="preserve"> three-quarters of which involved an edge catch; measured ski-geometry parameters did not differ between mechanism groups.</w:t>
            </w:r>
          </w:p>
        </w:tc>
        <w:tc>
          <w:tcPr>
            <w:tcW w:w="2442"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 xml:space="preserve">Mechanisms </w:t>
            </w:r>
            <w:proofErr w:type="gramStart"/>
            <w:r>
              <w:rPr>
                <w:sz w:val="16"/>
                <w:szCs w:val="16"/>
              </w:rPr>
              <w:t>were self-reported</w:t>
            </w:r>
            <w:proofErr w:type="gramEnd"/>
            <w:r>
              <w:rPr>
                <w:sz w:val="16"/>
                <w:szCs w:val="16"/>
              </w:rPr>
              <w:t xml:space="preserve"> by injured skiers, with no uninjured comparison group and no biomechanical measurement.</w:t>
            </w:r>
          </w:p>
        </w:tc>
      </w:tr>
      <w:tr w:rsidR="00B35AE6" w:rsidTr="00E039BA">
        <w:trPr>
          <w:trHeight w:val="563"/>
        </w:trPr>
        <w:tc>
          <w:tcPr>
            <w:tcW w:w="1118"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proofErr w:type="spellStart"/>
            <w:r>
              <w:rPr>
                <w:sz w:val="16"/>
                <w:szCs w:val="16"/>
              </w:rPr>
              <w:t>Posch</w:t>
            </w:r>
            <w:proofErr w:type="spellEnd"/>
            <w:r>
              <w:rPr>
                <w:sz w:val="16"/>
                <w:szCs w:val="16"/>
              </w:rPr>
              <w:t xml:space="preserve"> et al. (2023)</w:t>
            </w:r>
          </w:p>
        </w:tc>
        <w:tc>
          <w:tcPr>
            <w:tcW w:w="2440"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Matched retrospective case-control study; 392 ACL-injured and 392 uninjured recreational skiers</w:t>
            </w:r>
          </w:p>
        </w:tc>
        <w:tc>
          <w:tcPr>
            <w:tcW w:w="3493"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 xml:space="preserve">ACL injury was associated with fresh or </w:t>
            </w:r>
            <w:proofErr w:type="spellStart"/>
            <w:r>
              <w:rPr>
                <w:sz w:val="16"/>
                <w:szCs w:val="16"/>
              </w:rPr>
              <w:t>grippy</w:t>
            </w:r>
            <w:proofErr w:type="spellEnd"/>
            <w:r>
              <w:rPr>
                <w:sz w:val="16"/>
                <w:szCs w:val="16"/>
              </w:rPr>
              <w:t xml:space="preserve"> snow, icy surfaces, </w:t>
            </w:r>
            <w:proofErr w:type="gramStart"/>
            <w:r>
              <w:rPr>
                <w:sz w:val="16"/>
                <w:szCs w:val="16"/>
              </w:rPr>
              <w:t>perceived</w:t>
            </w:r>
            <w:proofErr w:type="gramEnd"/>
            <w:r>
              <w:rPr>
                <w:sz w:val="16"/>
                <w:szCs w:val="16"/>
              </w:rPr>
              <w:t xml:space="preserve"> cold and easier slopes.</w:t>
            </w:r>
          </w:p>
        </w:tc>
        <w:tc>
          <w:tcPr>
            <w:tcW w:w="2442"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Questionnaire-based associations; Conditions were recalled after the fact and no countermeasure was tested; the associations cannot ground a prevention rule.</w:t>
            </w:r>
          </w:p>
        </w:tc>
      </w:tr>
      <w:tr w:rsidR="00B35AE6" w:rsidTr="00E039BA">
        <w:trPr>
          <w:trHeight w:val="563"/>
        </w:trPr>
        <w:tc>
          <w:tcPr>
            <w:tcW w:w="1118"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proofErr w:type="spellStart"/>
            <w:r>
              <w:rPr>
                <w:sz w:val="16"/>
                <w:szCs w:val="16"/>
              </w:rPr>
              <w:t>Pujol</w:t>
            </w:r>
            <w:proofErr w:type="spellEnd"/>
            <w:r>
              <w:rPr>
                <w:sz w:val="16"/>
                <w:szCs w:val="16"/>
              </w:rPr>
              <w:t xml:space="preserve"> et al. (2007)</w:t>
            </w:r>
          </w:p>
        </w:tc>
        <w:tc>
          <w:tcPr>
            <w:tcW w:w="2440"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Twenty-five-year (1980-2005) descriptive epidemiology; 379 elite French national-team skiers</w:t>
            </w:r>
          </w:p>
        </w:tc>
        <w:tc>
          <w:tcPr>
            <w:tcW w:w="3493"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 xml:space="preserve">ACL injury and </w:t>
            </w:r>
            <w:proofErr w:type="spellStart"/>
            <w:r>
              <w:rPr>
                <w:sz w:val="16"/>
                <w:szCs w:val="16"/>
              </w:rPr>
              <w:t>reinjury</w:t>
            </w:r>
            <w:proofErr w:type="spellEnd"/>
            <w:r>
              <w:rPr>
                <w:sz w:val="16"/>
                <w:szCs w:val="16"/>
              </w:rPr>
              <w:t xml:space="preserve"> rates remained stable across the 1980-2005 observation period.</w:t>
            </w:r>
          </w:p>
        </w:tc>
        <w:tc>
          <w:tcPr>
            <w:tcW w:w="2442"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Historical elite cohort; the study did not isolate the effects of changes in equipment, training, or exposure.</w:t>
            </w:r>
          </w:p>
        </w:tc>
      </w:tr>
      <w:tr w:rsidR="00B35AE6" w:rsidTr="00E039BA">
        <w:trPr>
          <w:trHeight w:val="563"/>
        </w:trPr>
        <w:tc>
          <w:tcPr>
            <w:tcW w:w="1118"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Redondo et al. (2018)</w:t>
            </w:r>
          </w:p>
        </w:tc>
        <w:tc>
          <w:tcPr>
            <w:tcW w:w="2440"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Clinical review of cartilage-restoration procedures</w:t>
            </w:r>
          </w:p>
        </w:tc>
        <w:tc>
          <w:tcPr>
            <w:tcW w:w="3493"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 xml:space="preserve">Explained </w:t>
            </w:r>
            <w:proofErr w:type="spellStart"/>
            <w:r>
              <w:rPr>
                <w:sz w:val="16"/>
                <w:szCs w:val="16"/>
              </w:rPr>
              <w:t>microfracture</w:t>
            </w:r>
            <w:proofErr w:type="spellEnd"/>
            <w:r>
              <w:rPr>
                <w:sz w:val="16"/>
                <w:szCs w:val="16"/>
              </w:rPr>
              <w:t xml:space="preserve"> and </w:t>
            </w:r>
            <w:proofErr w:type="spellStart"/>
            <w:r>
              <w:rPr>
                <w:sz w:val="16"/>
                <w:szCs w:val="16"/>
              </w:rPr>
              <w:t>osteochondral</w:t>
            </w:r>
            <w:proofErr w:type="spellEnd"/>
            <w:r>
              <w:rPr>
                <w:sz w:val="16"/>
                <w:szCs w:val="16"/>
              </w:rPr>
              <w:t xml:space="preserve"> </w:t>
            </w:r>
            <w:proofErr w:type="spellStart"/>
            <w:r>
              <w:rPr>
                <w:sz w:val="16"/>
                <w:szCs w:val="16"/>
              </w:rPr>
              <w:t>autograft</w:t>
            </w:r>
            <w:proofErr w:type="spellEnd"/>
            <w:r>
              <w:rPr>
                <w:sz w:val="16"/>
                <w:szCs w:val="16"/>
              </w:rPr>
              <w:t xml:space="preserve"> procedures and the type of repair tissue produced.</w:t>
            </w:r>
          </w:p>
        </w:tc>
        <w:tc>
          <w:tcPr>
            <w:tcW w:w="2442"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 xml:space="preserve">Used for the mechanism and the limits of </w:t>
            </w:r>
            <w:proofErr w:type="spellStart"/>
            <w:r>
              <w:rPr>
                <w:sz w:val="16"/>
                <w:szCs w:val="16"/>
              </w:rPr>
              <w:t>microfracture</w:t>
            </w:r>
            <w:proofErr w:type="spellEnd"/>
            <w:r>
              <w:rPr>
                <w:sz w:val="16"/>
                <w:szCs w:val="16"/>
              </w:rPr>
              <w:t>. Non-ski-specific and descriptive; reports no return-to-ski outcomes of its own.</w:t>
            </w:r>
          </w:p>
        </w:tc>
      </w:tr>
      <w:tr w:rsidR="00B35AE6" w:rsidTr="00E039BA">
        <w:trPr>
          <w:trHeight w:val="923"/>
        </w:trPr>
        <w:tc>
          <w:tcPr>
            <w:tcW w:w="1118"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proofErr w:type="spellStart"/>
            <w:r>
              <w:rPr>
                <w:sz w:val="16"/>
                <w:szCs w:val="16"/>
              </w:rPr>
              <w:t>Ruedl</w:t>
            </w:r>
            <w:proofErr w:type="spellEnd"/>
            <w:r>
              <w:rPr>
                <w:sz w:val="16"/>
                <w:szCs w:val="16"/>
              </w:rPr>
              <w:t xml:space="preserve"> et al. (2011)</w:t>
            </w:r>
          </w:p>
        </w:tc>
        <w:tc>
          <w:tcPr>
            <w:tcW w:w="2440"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Retrospective questionnaire; 220 ACL-injured recreational carving skiers</w:t>
            </w:r>
          </w:p>
        </w:tc>
        <w:tc>
          <w:tcPr>
            <w:tcW w:w="3493"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Forward twisting falls were the most commonly reported mechanism in both sexes.</w:t>
            </w:r>
          </w:p>
        </w:tc>
        <w:tc>
          <w:tcPr>
            <w:tcW w:w="2442"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 xml:space="preserve">Corroborates the recreational mechanism distribution later reported by </w:t>
            </w:r>
            <w:proofErr w:type="spellStart"/>
            <w:r>
              <w:rPr>
                <w:sz w:val="16"/>
                <w:szCs w:val="16"/>
              </w:rPr>
              <w:t>Posch</w:t>
            </w:r>
            <w:proofErr w:type="spellEnd"/>
            <w:r>
              <w:rPr>
                <w:sz w:val="16"/>
                <w:szCs w:val="16"/>
              </w:rPr>
              <w:t xml:space="preserve"> et al. (2022). Self-reported and injured-only data</w:t>
            </w:r>
            <w:proofErr w:type="gramStart"/>
            <w:r>
              <w:rPr>
                <w:sz w:val="16"/>
                <w:szCs w:val="16"/>
              </w:rPr>
              <w:t>;</w:t>
            </w:r>
            <w:proofErr w:type="gramEnd"/>
            <w:r>
              <w:rPr>
                <w:sz w:val="16"/>
                <w:szCs w:val="16"/>
              </w:rPr>
              <w:t xml:space="preserve"> the knee kinematics associated with this mechanism are inferred from the fall description, not measured.</w:t>
            </w:r>
          </w:p>
        </w:tc>
      </w:tr>
      <w:tr w:rsidR="00B35AE6" w:rsidTr="00E039BA">
        <w:trPr>
          <w:trHeight w:val="563"/>
        </w:trPr>
        <w:tc>
          <w:tcPr>
            <w:tcW w:w="1118"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proofErr w:type="spellStart"/>
            <w:r>
              <w:rPr>
                <w:sz w:val="16"/>
                <w:szCs w:val="16"/>
              </w:rPr>
              <w:t>Ruedl</w:t>
            </w:r>
            <w:proofErr w:type="spellEnd"/>
            <w:r>
              <w:rPr>
                <w:sz w:val="16"/>
                <w:szCs w:val="16"/>
              </w:rPr>
              <w:t xml:space="preserve"> et al. (2016)</w:t>
            </w:r>
          </w:p>
        </w:tc>
        <w:tc>
          <w:tcPr>
            <w:tcW w:w="2440"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Questionnaire cohort; 498 ACL-injured recreational skiers</w:t>
            </w:r>
          </w:p>
        </w:tc>
        <w:tc>
          <w:tcPr>
            <w:tcW w:w="3493"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 xml:space="preserve">Self-reported binding </w:t>
            </w:r>
            <w:proofErr w:type="spellStart"/>
            <w:r>
              <w:rPr>
                <w:sz w:val="16"/>
                <w:szCs w:val="16"/>
              </w:rPr>
              <w:t>nonrelease</w:t>
            </w:r>
            <w:proofErr w:type="spellEnd"/>
            <w:r>
              <w:rPr>
                <w:sz w:val="16"/>
                <w:szCs w:val="16"/>
              </w:rPr>
              <w:t xml:space="preserve"> was more common in women and </w:t>
            </w:r>
            <w:proofErr w:type="gramStart"/>
            <w:r>
              <w:rPr>
                <w:sz w:val="16"/>
                <w:szCs w:val="16"/>
              </w:rPr>
              <w:t>was reported</w:t>
            </w:r>
            <w:proofErr w:type="gramEnd"/>
            <w:r>
              <w:rPr>
                <w:sz w:val="16"/>
                <w:szCs w:val="16"/>
              </w:rPr>
              <w:t xml:space="preserve"> more often at lower perceived speeds.</w:t>
            </w:r>
          </w:p>
        </w:tc>
        <w:tc>
          <w:tcPr>
            <w:tcW w:w="2442"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 xml:space="preserve">Injured-only, self-reported data; cannot show that </w:t>
            </w:r>
            <w:proofErr w:type="spellStart"/>
            <w:r>
              <w:rPr>
                <w:sz w:val="16"/>
                <w:szCs w:val="16"/>
              </w:rPr>
              <w:t>nonrelease</w:t>
            </w:r>
            <w:proofErr w:type="spellEnd"/>
            <w:r>
              <w:rPr>
                <w:sz w:val="16"/>
                <w:szCs w:val="16"/>
              </w:rPr>
              <w:t xml:space="preserve"> caused ACL injury or the sex difference.</w:t>
            </w:r>
          </w:p>
        </w:tc>
      </w:tr>
      <w:tr w:rsidR="00B35AE6" w:rsidTr="00E039BA">
        <w:trPr>
          <w:trHeight w:val="563"/>
        </w:trPr>
        <w:tc>
          <w:tcPr>
            <w:tcW w:w="1118"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proofErr w:type="spellStart"/>
            <w:r>
              <w:rPr>
                <w:sz w:val="16"/>
                <w:szCs w:val="16"/>
              </w:rPr>
              <w:t>Ruedl</w:t>
            </w:r>
            <w:proofErr w:type="spellEnd"/>
            <w:r>
              <w:rPr>
                <w:sz w:val="16"/>
                <w:szCs w:val="16"/>
              </w:rPr>
              <w:t xml:space="preserve"> et al. (2022)</w:t>
            </w:r>
          </w:p>
        </w:tc>
        <w:tc>
          <w:tcPr>
            <w:tcW w:w="2440"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Retrospective case-control study; 1,817 recreational skiers, including 392 ACL injuries</w:t>
            </w:r>
          </w:p>
        </w:tc>
        <w:tc>
          <w:tcPr>
            <w:tcW w:w="3493"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A higher front-to-rear binding standing-height ratio was independently associated with ACL injury.</w:t>
            </w:r>
          </w:p>
        </w:tc>
        <w:tc>
          <w:tcPr>
            <w:tcW w:w="2442"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Observational association; adjusting the ratio has not been shown to prevent injury.</w:t>
            </w:r>
          </w:p>
        </w:tc>
      </w:tr>
      <w:tr w:rsidR="00B35AE6" w:rsidTr="00E039BA">
        <w:trPr>
          <w:trHeight w:val="743"/>
        </w:trPr>
        <w:tc>
          <w:tcPr>
            <w:tcW w:w="1118"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proofErr w:type="spellStart"/>
            <w:r>
              <w:rPr>
                <w:sz w:val="16"/>
                <w:szCs w:val="16"/>
              </w:rPr>
              <w:t>Schoeb</w:t>
            </w:r>
            <w:proofErr w:type="spellEnd"/>
            <w:r>
              <w:rPr>
                <w:sz w:val="16"/>
                <w:szCs w:val="16"/>
              </w:rPr>
              <w:t xml:space="preserve"> et al. (2022)</w:t>
            </w:r>
          </w:p>
        </w:tc>
        <w:tc>
          <w:tcPr>
            <w:tcW w:w="2440"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Controlled 12-month intervention; 71 U16 racers and 58 historical controls</w:t>
            </w:r>
          </w:p>
        </w:tc>
        <w:tc>
          <w:tcPr>
            <w:tcW w:w="3493"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 xml:space="preserve">The </w:t>
            </w:r>
            <w:proofErr w:type="spellStart"/>
            <w:r>
              <w:rPr>
                <w:sz w:val="16"/>
                <w:szCs w:val="16"/>
              </w:rPr>
              <w:t>ISPAInt</w:t>
            </w:r>
            <w:proofErr w:type="spellEnd"/>
            <w:r>
              <w:rPr>
                <w:sz w:val="16"/>
                <w:szCs w:val="16"/>
              </w:rPr>
              <w:t xml:space="preserve"> program </w:t>
            </w:r>
            <w:proofErr w:type="gramStart"/>
            <w:r>
              <w:rPr>
                <w:sz w:val="16"/>
                <w:szCs w:val="16"/>
              </w:rPr>
              <w:t>was followed</w:t>
            </w:r>
            <w:proofErr w:type="gramEnd"/>
            <w:r>
              <w:rPr>
                <w:sz w:val="16"/>
                <w:szCs w:val="16"/>
              </w:rPr>
              <w:t xml:space="preserve"> by lower traumatic and overuse injury rates, although the proportion with traumatic injuries did not differ. Mean adherence was 0.8 sessions per week.</w:t>
            </w:r>
          </w:p>
        </w:tc>
        <w:tc>
          <w:tcPr>
            <w:tcW w:w="2442"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The most ski-specific neuromuscular program trialed to date. Nonrandom historical controls</w:t>
            </w:r>
            <w:proofErr w:type="gramStart"/>
            <w:r>
              <w:rPr>
                <w:sz w:val="16"/>
                <w:szCs w:val="16"/>
              </w:rPr>
              <w:t>;</w:t>
            </w:r>
            <w:proofErr w:type="gramEnd"/>
            <w:r>
              <w:rPr>
                <w:sz w:val="16"/>
                <w:szCs w:val="16"/>
              </w:rPr>
              <w:t xml:space="preserve"> program adherence below the prescribed dose, and outcomes were not ACL-specific.</w:t>
            </w:r>
          </w:p>
        </w:tc>
      </w:tr>
      <w:tr w:rsidR="00B35AE6" w:rsidTr="00E039BA">
        <w:trPr>
          <w:trHeight w:val="743"/>
        </w:trPr>
        <w:tc>
          <w:tcPr>
            <w:tcW w:w="1118"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Simonetta et al. (2023)</w:t>
            </w:r>
          </w:p>
        </w:tc>
        <w:tc>
          <w:tcPr>
            <w:tcW w:w="2440"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Narrative and practical review of meniscal tear patterns</w:t>
            </w:r>
          </w:p>
        </w:tc>
        <w:tc>
          <w:tcPr>
            <w:tcW w:w="3493"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Classified tear patterns and supports repair and tissue preservation wherever location and tissue quality allow; links </w:t>
            </w:r>
            <w:proofErr w:type="spellStart"/>
            <w:r>
              <w:rPr>
                <w:sz w:val="16"/>
                <w:szCs w:val="16"/>
              </w:rPr>
              <w:t>meniscectomy</w:t>
            </w:r>
            <w:proofErr w:type="spellEnd"/>
            <w:r>
              <w:rPr>
                <w:sz w:val="16"/>
                <w:szCs w:val="16"/>
              </w:rPr>
              <w:t xml:space="preserve"> to later degenerative change.</w:t>
            </w:r>
          </w:p>
        </w:tc>
        <w:tc>
          <w:tcPr>
            <w:tcW w:w="2442"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Non-ski-specific secondary source; treatment depends on tear and patient characteristics.</w:t>
            </w:r>
          </w:p>
        </w:tc>
      </w:tr>
      <w:tr w:rsidR="00B35AE6" w:rsidTr="00E039BA">
        <w:trPr>
          <w:trHeight w:val="563"/>
        </w:trPr>
        <w:tc>
          <w:tcPr>
            <w:tcW w:w="1118"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proofErr w:type="spellStart"/>
            <w:r>
              <w:rPr>
                <w:sz w:val="16"/>
                <w:szCs w:val="16"/>
              </w:rPr>
              <w:t>Spörri</w:t>
            </w:r>
            <w:proofErr w:type="spellEnd"/>
            <w:r>
              <w:rPr>
                <w:sz w:val="16"/>
                <w:szCs w:val="16"/>
              </w:rPr>
              <w:t xml:space="preserve"> et al. (2017)</w:t>
            </w:r>
          </w:p>
        </w:tc>
        <w:tc>
          <w:tcPr>
            <w:tcW w:w="2440"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Narrative review; alpine ski racing injury prevention</w:t>
            </w:r>
          </w:p>
        </w:tc>
        <w:tc>
          <w:tcPr>
            <w:tcW w:w="3493"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 xml:space="preserve">Of 38 proposed risk factors, only five had direct statistical evidence, and one equipment measure </w:t>
            </w:r>
            <w:proofErr w:type="gramStart"/>
            <w:r>
              <w:rPr>
                <w:sz w:val="16"/>
                <w:szCs w:val="16"/>
              </w:rPr>
              <w:t>had been shown</w:t>
            </w:r>
            <w:proofErr w:type="gramEnd"/>
            <w:r>
              <w:rPr>
                <w:sz w:val="16"/>
                <w:szCs w:val="16"/>
              </w:rPr>
              <w:t xml:space="preserve"> to reduce injury risk.</w:t>
            </w:r>
          </w:p>
        </w:tc>
        <w:tc>
          <w:tcPr>
            <w:tcW w:w="2442"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Broad secondary synthesis highlighting limited direct prevention evidence.</w:t>
            </w:r>
          </w:p>
        </w:tc>
      </w:tr>
      <w:tr w:rsidR="00B35AE6" w:rsidTr="00E039BA">
        <w:trPr>
          <w:trHeight w:val="563"/>
        </w:trPr>
        <w:tc>
          <w:tcPr>
            <w:tcW w:w="1118"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proofErr w:type="spellStart"/>
            <w:r>
              <w:rPr>
                <w:sz w:val="16"/>
                <w:szCs w:val="16"/>
              </w:rPr>
              <w:t>Spörri</w:t>
            </w:r>
            <w:proofErr w:type="spellEnd"/>
            <w:r>
              <w:rPr>
                <w:sz w:val="16"/>
                <w:szCs w:val="16"/>
              </w:rPr>
              <w:t xml:space="preserve"> et al. (2022)</w:t>
            </w:r>
          </w:p>
        </w:tc>
        <w:tc>
          <w:tcPr>
            <w:tcW w:w="2440"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In vivo single-case report with synchronized EMG and kinematics; one competitive skier</w:t>
            </w:r>
          </w:p>
        </w:tc>
        <w:tc>
          <w:tcPr>
            <w:tcW w:w="3493"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 xml:space="preserve">ACL rupture occurred as a sliding, fallen skier attempted to stand and caught an edge, with strong </w:t>
            </w:r>
            <w:proofErr w:type="spellStart"/>
            <w:r>
              <w:rPr>
                <w:sz w:val="16"/>
                <w:szCs w:val="16"/>
              </w:rPr>
              <w:t>vastus</w:t>
            </w:r>
            <w:proofErr w:type="spellEnd"/>
            <w:r>
              <w:rPr>
                <w:sz w:val="16"/>
                <w:szCs w:val="16"/>
              </w:rPr>
              <w:t xml:space="preserve"> </w:t>
            </w:r>
            <w:proofErr w:type="spellStart"/>
            <w:r>
              <w:rPr>
                <w:sz w:val="16"/>
                <w:szCs w:val="16"/>
              </w:rPr>
              <w:t>medialis</w:t>
            </w:r>
            <w:proofErr w:type="spellEnd"/>
            <w:r>
              <w:rPr>
                <w:sz w:val="16"/>
                <w:szCs w:val="16"/>
              </w:rPr>
              <w:t xml:space="preserve"> activation </w:t>
            </w:r>
            <w:proofErr w:type="gramStart"/>
            <w:r>
              <w:rPr>
                <w:sz w:val="16"/>
                <w:szCs w:val="16"/>
              </w:rPr>
              <w:t>at the moment</w:t>
            </w:r>
            <w:proofErr w:type="gramEnd"/>
            <w:r>
              <w:rPr>
                <w:sz w:val="16"/>
                <w:szCs w:val="16"/>
              </w:rPr>
              <w:t xml:space="preserve"> of failure.</w:t>
            </w:r>
          </w:p>
        </w:tc>
        <w:tc>
          <w:tcPr>
            <w:tcW w:w="2442"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Single case; supports caution but not mechanism frequency or a universal prevention rule.</w:t>
            </w:r>
          </w:p>
        </w:tc>
      </w:tr>
      <w:tr w:rsidR="00B35AE6" w:rsidTr="00E039BA">
        <w:trPr>
          <w:trHeight w:val="743"/>
        </w:trPr>
        <w:tc>
          <w:tcPr>
            <w:tcW w:w="1118"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Steadman et al. (2014)</w:t>
            </w:r>
          </w:p>
        </w:tc>
        <w:tc>
          <w:tcPr>
            <w:tcW w:w="2440"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 xml:space="preserve">Single-surgeon case series; 20 professional alpine ski racers treated with knee </w:t>
            </w:r>
            <w:proofErr w:type="spellStart"/>
            <w:r>
              <w:rPr>
                <w:sz w:val="16"/>
                <w:szCs w:val="16"/>
              </w:rPr>
              <w:t>microfracture</w:t>
            </w:r>
            <w:proofErr w:type="spellEnd"/>
            <w:r>
              <w:rPr>
                <w:sz w:val="16"/>
                <w:szCs w:val="16"/>
              </w:rPr>
              <w:t>; 18 with minimum two-year follow-up</w:t>
            </w:r>
          </w:p>
        </w:tc>
        <w:tc>
          <w:tcPr>
            <w:tcW w:w="3493"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19 of 20 returned to competitive skiing at a mean of 13.4 months</w:t>
            </w:r>
          </w:p>
        </w:tc>
        <w:tc>
          <w:tcPr>
            <w:tcW w:w="2442"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Small selected elite sample, no comparator, and treatment-selection bias; does not establish comparative effectiveness</w:t>
            </w:r>
          </w:p>
        </w:tc>
      </w:tr>
      <w:tr w:rsidR="00B35AE6" w:rsidTr="00E039BA">
        <w:trPr>
          <w:trHeight w:val="563"/>
        </w:trPr>
        <w:tc>
          <w:tcPr>
            <w:tcW w:w="1118"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proofErr w:type="spellStart"/>
            <w:r>
              <w:rPr>
                <w:sz w:val="16"/>
                <w:szCs w:val="16"/>
              </w:rPr>
              <w:t>Steib</w:t>
            </w:r>
            <w:proofErr w:type="spellEnd"/>
            <w:r>
              <w:rPr>
                <w:sz w:val="16"/>
                <w:szCs w:val="16"/>
              </w:rPr>
              <w:t xml:space="preserve"> et al. (2017)</w:t>
            </w:r>
          </w:p>
        </w:tc>
        <w:tc>
          <w:tcPr>
            <w:tcW w:w="2440"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Meta-analysis; 16 youth-sport trials</w:t>
            </w:r>
          </w:p>
        </w:tc>
        <w:tc>
          <w:tcPr>
            <w:tcW w:w="3493"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Neuromuscular training was associated with a 42% lower risk of lower-extremity injury, with larger reductions at two or three sessions per week.</w:t>
            </w:r>
          </w:p>
        </w:tc>
        <w:tc>
          <w:tcPr>
            <w:tcW w:w="2442"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Non-ski-specific and heterogeneous; cannot provide a ski-specific ACL effect estimate.</w:t>
            </w:r>
          </w:p>
        </w:tc>
      </w:tr>
      <w:tr w:rsidR="00B35AE6" w:rsidTr="00E039BA">
        <w:trPr>
          <w:trHeight w:val="743"/>
        </w:trPr>
        <w:tc>
          <w:tcPr>
            <w:tcW w:w="1118"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proofErr w:type="spellStart"/>
            <w:r>
              <w:rPr>
                <w:sz w:val="16"/>
                <w:szCs w:val="16"/>
              </w:rPr>
              <w:t>Tarka</w:t>
            </w:r>
            <w:proofErr w:type="spellEnd"/>
            <w:r>
              <w:rPr>
                <w:sz w:val="16"/>
                <w:szCs w:val="16"/>
              </w:rPr>
              <w:t xml:space="preserve"> et al. (2019)</w:t>
            </w:r>
          </w:p>
        </w:tc>
        <w:tc>
          <w:tcPr>
            <w:tcW w:w="2440"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Clinical review; alpine ski racing injuries</w:t>
            </w:r>
          </w:p>
        </w:tc>
        <w:tc>
          <w:tcPr>
            <w:tcW w:w="3493"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Summarized injury epidemiology, mechanisms, clinical management, and reports the absence of a consistent sex difference in ACL risk among competitive skiers.</w:t>
            </w:r>
          </w:p>
        </w:tc>
        <w:tc>
          <w:tcPr>
            <w:tcW w:w="2442"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Used for orientation to racing injury. Secondary review</w:t>
            </w:r>
            <w:proofErr w:type="gramStart"/>
            <w:r>
              <w:rPr>
                <w:sz w:val="16"/>
                <w:szCs w:val="16"/>
              </w:rPr>
              <w:t>;</w:t>
            </w:r>
            <w:proofErr w:type="gramEnd"/>
            <w:r>
              <w:rPr>
                <w:sz w:val="16"/>
                <w:szCs w:val="16"/>
              </w:rPr>
              <w:t xml:space="preserve"> precise treatment or outcome figures should be traced to primary studies.</w:t>
            </w:r>
          </w:p>
        </w:tc>
      </w:tr>
      <w:tr w:rsidR="00B35AE6" w:rsidTr="00E039BA">
        <w:trPr>
          <w:trHeight w:val="563"/>
        </w:trPr>
        <w:tc>
          <w:tcPr>
            <w:tcW w:w="1118"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Westin et al. (2020)</w:t>
            </w:r>
          </w:p>
        </w:tc>
        <w:tc>
          <w:tcPr>
            <w:tcW w:w="2440"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Nonrandomized historical-control cohort; 305 intervention and 431 control ski high-school students</w:t>
            </w:r>
          </w:p>
        </w:tc>
        <w:tc>
          <w:tcPr>
            <w:tcW w:w="3493"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A combined video-education and neuromuscular program was associated with a 45% reduction in ACL injuries.</w:t>
            </w:r>
          </w:p>
        </w:tc>
        <w:tc>
          <w:tcPr>
            <w:tcW w:w="2442"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Historical controls; program components cannot be separated, and adherence data were incomplete.</w:t>
            </w:r>
          </w:p>
        </w:tc>
      </w:tr>
      <w:tr w:rsidR="00B35AE6" w:rsidTr="00E039BA">
        <w:trPr>
          <w:trHeight w:val="953"/>
        </w:trPr>
        <w:tc>
          <w:tcPr>
            <w:tcW w:w="1118"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proofErr w:type="spellStart"/>
            <w:r>
              <w:rPr>
                <w:sz w:val="16"/>
                <w:szCs w:val="16"/>
              </w:rPr>
              <w:t>Zorko</w:t>
            </w:r>
            <w:proofErr w:type="spellEnd"/>
            <w:r>
              <w:rPr>
                <w:sz w:val="16"/>
                <w:szCs w:val="16"/>
              </w:rPr>
              <w:t xml:space="preserve"> et al. (2020)</w:t>
            </w:r>
          </w:p>
        </w:tc>
        <w:tc>
          <w:tcPr>
            <w:tcW w:w="2440"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Laboratory simulator study; 14 healthy intermediate skiers</w:t>
            </w:r>
          </w:p>
        </w:tc>
        <w:tc>
          <w:tcPr>
            <w:tcW w:w="3493"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before="30" w:after="30"/>
              <w:jc w:val="center"/>
            </w:pPr>
            <w:r>
              <w:rPr>
                <w:sz w:val="16"/>
                <w:szCs w:val="16"/>
              </w:rPr>
              <w:t xml:space="preserve">Greater ski waist width increased external knee rotation and biceps </w:t>
            </w:r>
            <w:proofErr w:type="spellStart"/>
            <w:r>
              <w:rPr>
                <w:sz w:val="16"/>
                <w:szCs w:val="16"/>
              </w:rPr>
              <w:t>femoris</w:t>
            </w:r>
            <w:proofErr w:type="spellEnd"/>
            <w:r>
              <w:rPr>
                <w:sz w:val="16"/>
                <w:szCs w:val="16"/>
              </w:rPr>
              <w:t xml:space="preserve"> activation, while external knee torque remained unchanged.</w:t>
            </w:r>
          </w:p>
        </w:tc>
        <w:tc>
          <w:tcPr>
            <w:tcW w:w="2442"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hideMark/>
          </w:tcPr>
          <w:p w:rsidR="00B35AE6" w:rsidRDefault="00B35AE6" w:rsidP="00E039BA">
            <w:pPr>
              <w:spacing w:after="0"/>
              <w:jc w:val="center"/>
            </w:pPr>
            <w:r>
              <w:rPr>
                <w:sz w:val="16"/>
                <w:szCs w:val="16"/>
              </w:rPr>
              <w:t xml:space="preserve">Cited for the possible mechanical cost of wide skis. Quasi-static simulation without real turning </w:t>
            </w:r>
            <w:proofErr w:type="gramStart"/>
            <w:r>
              <w:rPr>
                <w:sz w:val="16"/>
                <w:szCs w:val="16"/>
              </w:rPr>
              <w:t>dynamics,</w:t>
            </w:r>
            <w:proofErr w:type="gramEnd"/>
            <w:r>
              <w:rPr>
                <w:sz w:val="16"/>
                <w:szCs w:val="16"/>
              </w:rPr>
              <w:t xml:space="preserve"> and the unchanged torque is as much a part of the finding as the changed rotation.</w:t>
            </w:r>
          </w:p>
        </w:tc>
      </w:tr>
    </w:tbl>
    <w:p w:rsidR="00B35AE6" w:rsidRDefault="00B35AE6"/>
    <w:sectPr w:rsidR="00B35A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5AE6"/>
    <w:rsid w:val="00B35AE6"/>
    <w:rsid w:val="00BC4140"/>
    <w:rsid w:val="00C74108"/>
    <w:rsid w:val="00FF3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0FD0C4"/>
  <w15:chartTrackingRefBased/>
  <w15:docId w15:val="{49E32CD4-C19B-44E6-A29F-ABBD6B90E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5AE6"/>
    <w:pPr>
      <w:widowControl w:val="0"/>
      <w:spacing w:line="240" w:lineRule="auto"/>
    </w:pPr>
    <w:rPr>
      <w:rFonts w:ascii="Times New Roman" w:eastAsia="Arial Unicode MS" w:hAnsi="Times New Roman" w:cs="Arial Unicode MS"/>
      <w:color w:val="000000"/>
      <w:kern w:val="2"/>
      <w:sz w:val="24"/>
      <w:szCs w:val="24"/>
      <w:u w:color="000000"/>
      <w:lang/>
      <w14:textOutline w14:w="12700" w14:cap="flat" w14:cmpd="sng" w14:algn="ctr">
        <w14:noFill/>
        <w14:prstDash w14:val="solid"/>
        <w14:miter w14:lim="100000"/>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1846</Words>
  <Characters>10525</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salaha</dc:creator>
  <cp:keywords/>
  <dc:description/>
  <cp:lastModifiedBy>salaha</cp:lastModifiedBy>
  <cp:revision>1</cp:revision>
  <dcterms:created xsi:type="dcterms:W3CDTF">2026-10-13T08:53:00Z</dcterms:created>
  <dcterms:modified xsi:type="dcterms:W3CDTF">2026-10-13T08:54:00Z</dcterms:modified>
</cp:coreProperties>
</file>