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start"/>
        <w:rPr>
          <w:rFonts w:ascii="TimesNewRomanPS-BoldMT" w:hAnsi="TimesNewRomanPS-BoldMT" w:eastAsia="TimesNewRomanPS-BoldMT" w:cs="TimesNewRomanPS-BoldMT"/>
          <w:b/>
          <w:bCs/>
          <w:color w:val="000000"/>
          <w:sz w:val="24"/>
          <w:szCs w:val="24"/>
        </w:rPr>
      </w:pPr>
      <w:r>
        <w:rPr>
          <w:rFonts w:eastAsia="TimesNewRomanPS-BoldMT" w:cs="TimesNewRomanPS-BoldMT" w:ascii="TimesNewRomanPS-BoldMT" w:hAnsi="TimesNewRomanPS-BoldMT"/>
          <w:b/>
          <w:bCs/>
          <w:color w:val="000000"/>
          <w:sz w:val="24"/>
          <w:szCs w:val="24"/>
        </w:rPr>
        <w:t>Supplementary Material</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pPr>
      <w:r>
        <w:rPr>
          <w:rFonts w:eastAsia="TimesNewRomanPS-BoldMT" w:cs="TimesNewRomanPS-BoldMT" w:ascii="TimesNewRomanPS-BoldMT" w:hAnsi="TimesNewRomanPS-BoldMT"/>
          <w:b/>
          <w:bCs/>
          <w:color w:val="000000"/>
          <w:sz w:val="24"/>
          <w:szCs w:val="24"/>
        </w:rPr>
        <w:t xml:space="preserve">Manuscript: </w:t>
      </w:r>
      <w:r>
        <w:rPr>
          <w:rFonts w:eastAsia="TimesNewRomanPSMT" w:cs="TimesNewRomanPSMT" w:ascii="TimesNewRomanPSMT" w:hAnsi="TimesNewRomanPSMT"/>
          <w:color w:val="000000"/>
          <w:sz w:val="24"/>
          <w:szCs w:val="24"/>
        </w:rPr>
        <w:t>Finite-Size Spectral Signatures of Cavity-Induced Phase Behaviour in a Two-Site Tavis–Cummings Model</w:t>
      </w:r>
    </w:p>
    <w:p>
      <w:pPr>
        <w:pStyle w:val="Normal"/>
        <w:widowControl/>
        <w:bidi w:val="0"/>
        <w:spacing w:before="0" w:after="0"/>
        <w:ind w:hanging="0" w:start="0" w:end="0"/>
        <w:jc w:val="start"/>
        <w:rPr/>
      </w:pPr>
      <w:r>
        <w:rPr>
          <w:rFonts w:eastAsia="TimesNewRomanPS-BoldMT" w:cs="TimesNewRomanPS-BoldMT" w:ascii="TimesNewRomanPS-BoldMT" w:hAnsi="TimesNewRomanPS-BoldMT"/>
          <w:b/>
          <w:bCs/>
          <w:color w:val="000000"/>
          <w:sz w:val="24"/>
          <w:szCs w:val="24"/>
        </w:rPr>
        <w:t xml:space="preserve">Authors: </w:t>
      </w:r>
      <w:r>
        <w:rPr>
          <w:rFonts w:eastAsia="TimesNewRomanPSMT" w:cs="TimesNewRomanPSMT" w:ascii="TimesNewRomanPSMT" w:hAnsi="TimesNewRomanPSMT"/>
          <w:color w:val="000000"/>
          <w:sz w:val="24"/>
          <w:szCs w:val="24"/>
        </w:rPr>
        <w:t>Aryan Mathur</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z w:val="24"/>
          <w:szCs w:val="24"/>
        </w:rPr>
      </w:pPr>
      <w:r>
        <w:rPr>
          <w:rFonts w:eastAsia="TimesNewRomanPS-BoldMT" w:cs="TimesNewRomanPS-BoldMT" w:ascii="TimesNewRomanPS-BoldMT" w:hAnsi="TimesNewRomanPS-BoldMT"/>
          <w:b/>
          <w:bCs/>
          <w:color w:val="000000"/>
          <w:sz w:val="24"/>
          <w:szCs w:val="24"/>
        </w:rPr>
        <w:t>Octave Code: Two-Site Tavis–Cummings Model Exact Diagonalisation</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The following GNU Octave code was used to construct and diagonalise the 12×12 Tavis–Cummings Hamiltonian for the two-site, two-photon system. The code loops over all coupling strength values used for the ground-state energy plot (Figure 3), verifies Hermiticity at each value, and diagonalises the matrix to extract the full eigenvalue spectrum. The eight lambda values used for the eigenvalue histogram analysis (Figure 2) are a representative subset selected from this grid.</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z w:val="24"/>
          <w:szCs w:val="24"/>
        </w:rPr>
      </w:pPr>
      <w:r>
        <w:rPr>
          <w:rFonts w:eastAsia="TimesNewRomanPS-BoldMT" w:cs="TimesNewRomanPS-BoldMT" w:ascii="TimesNewRomanPS-BoldMT" w:hAnsi="TimesNewRomanPS-BoldMT"/>
          <w:b/>
          <w:bCs/>
          <w:color w:val="000000"/>
          <w:sz w:val="24"/>
          <w:szCs w:val="24"/>
        </w:rPr>
        <w:t>Parameters and conventions:</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 xml:space="preserve">ℏ </w:t>
      </w:r>
      <w:r>
        <w:rPr>
          <w:rFonts w:eastAsia="TimesNewRomanPSMT" w:cs="TimesNewRomanPSMT" w:ascii="TimesNewRomanPSMT" w:hAnsi="TimesNewRomanPSMT"/>
          <w:color w:val="000000"/>
          <w:sz w:val="24"/>
          <w:szCs w:val="24"/>
        </w:rPr>
        <w:t>= ω = ωba = 1 (dimensionless units). Per-site coupling: g = λ / √2. Basis states (1-indexed, 1–12):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1:|uu,0&gt;   2:|uu,1&gt;   3:|uu,2&gt;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4:|ud,0&gt;   5:|ud,1&gt;   6:|ud,2&gt;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7:|du,0&gt;   8:|du,1&gt;   9:|du,2&gt;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10:|dd,0&gt;  11:|dd,1&gt;  12:|dd,2&gt;</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where u = excited atom (↑), d = ground-state atom (↓), and the number is the photon occupation n = 0, 1, 2.</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z w:val="24"/>
          <w:szCs w:val="24"/>
        </w:rPr>
      </w:pPr>
      <w:r>
        <w:rPr>
          <w:rFonts w:eastAsia="TimesNewRomanPS-BoldMT" w:cs="TimesNewRomanPS-BoldMT" w:ascii="TimesNewRomanPS-BoldMT" w:hAnsi="TimesNewRomanPS-BoldMT"/>
          <w:b/>
          <w:bCs/>
          <w:color w:val="000000"/>
          <w:sz w:val="24"/>
          <w:szCs w:val="24"/>
        </w:rPr>
        <w:t>Code:</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Two-Site Tavis-Cummings Model -- Exact Diagonalisation</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Parameters: hbar = omega = omega_ba = 1</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Per-site coupling: g = lambda / sqrt(2)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Basis (1-indexed, 1 to 12):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1:|uu,0&gt;  2:|uu,1&gt;  3:|uu,2&gt;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4:|ud,0&gt;  5:|ud,1&gt;  6:|ud,2&gt;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7:|du,0&gt;  8:|du,1&gt;  9:|du,2&gt;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10:|dd,0&gt; 11:|dd,1&gt; 12:|dd,2&gt;</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results = [];</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ground_states = [];</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lambdas = 0.10 : 0.10 : 8.00;</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for idx = 1 : length(lambdas)</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lambda = lambdas(idx);</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g = lambda / sqrt(2);</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 = zeros(12, 12);</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Diagonal elements: E = (omega_ba/2)*(m1+m2) + omega*n</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m = +1 for excited (up), -1 for ground-state (down)</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d = [1, 2, 3, 0, 1, 2, 0, 1, 2, -1, 0, 1];</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for i = 1:12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H(i,i) = d(i);</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end</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Off-diagonal couplings: sigma_-^site * a_dag + h.c.</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Factor: g * sqrt(n+1) where n is the photon number before raising</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Site 1 flips up-&gt;down, photon raised by 1</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H(1,8)  = g;           H(8,1)  = g;</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H(2,9)  = g*sqrt(2);   H(9,2)  = g*sqrt(2);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H(4,11) = g;           H(11,4) = g;</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H(5,12) = g*sqrt(2);   H(12,5) = g*sqrt(2);</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Site 2 flips up-&gt;down, photon raised by 1</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H(1,5)  = g;           H(5,1)  = g;</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H(2,6)  = g*sqrt(2);   H(6,2)  = g*sqrt(2);</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H(7,11) = g;           H(11,7) = g;</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H(8,12) = g*sqrt(2);   H(12,8) = g*sqrt(2);</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Hermiticity verification</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hermitian_error = norm(H - H’);</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printf(‘lambda=%.2f: ||H - H_dag|| = %e</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w:t>
      </w:r>
      <w:r>
        <w:rPr>
          <w:rFonts w:eastAsia="CourierNewPSMT" w:cs="CourierNewPSMT" w:ascii="CourierNewPSMT" w:hAnsi="CourierNewPSMT"/>
          <w:color w:val="000000"/>
          <w:sz w:val="22"/>
          <w:szCs w:val="22"/>
        </w:rPr>
        <w:t>, lambda, hermitian_error);</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 Exact diagonalisation</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E = sort(eig(H));</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printf(‘lambda=%.2f: ground state E0 = %.4f</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w:t>
      </w:r>
      <w:r>
        <w:rPr>
          <w:rFonts w:eastAsia="CourierNewPSMT" w:cs="CourierNewPSMT" w:ascii="CourierNewPSMT" w:hAnsi="CourierNewPSMT"/>
          <w:color w:val="000000"/>
          <w:sz w:val="22"/>
          <w:szCs w:val="22"/>
        </w:rPr>
        <w:t>, lambda, E(1));</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ground_states(end+1) = E(1);</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results(idx, :) = E’;</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end</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Summary of ground state energies</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printf(‘</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Ground State Energies ===</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w:t>
      </w:r>
      <w:r>
        <w:rPr>
          <w:rFonts w:eastAsia="CourierNewPSMT" w:cs="CourierNewPSMT" w:ascii="CourierNewPSMT" w:hAnsi="CourierNewPSMT"/>
          <w:color w:val="000000"/>
          <w:sz w:val="22"/>
          <w:szCs w:val="22"/>
        </w:rPr>
        <w:t>);</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for idx = 1 : length(lambdas)</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 xml:space="preserve"> </w:t>
      </w:r>
      <w:r>
        <w:rPr>
          <w:rFonts w:eastAsia="CourierNewPSMT" w:cs="CourierNewPSMT" w:ascii="CourierNewPSMT" w:hAnsi="CourierNewPSMT"/>
          <w:color w:val="000000"/>
          <w:sz w:val="22"/>
          <w:szCs w:val="22"/>
        </w:rPr>
        <w:t>printf(‘lambda=%.2f: E0 = %.4f</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w:t>
      </w:r>
      <w:r>
        <w:rPr>
          <w:rFonts w:eastAsia="CourierNewPSMT" w:cs="CourierNewPSMT" w:ascii="CourierNewPSMT" w:hAnsi="CourierNewPSMT"/>
          <w:color w:val="000000"/>
          <w:sz w:val="22"/>
          <w:szCs w:val="22"/>
        </w:rPr>
        <w:t>, lambdas(idx), ground_states(idx));</w:t>
      </w:r>
    </w:p>
    <w:p>
      <w:pPr>
        <w:pStyle w:val="Normal"/>
        <w:widowControl/>
        <w:bidi w:val="0"/>
        <w:spacing w:before="0" w:after="0"/>
        <w:ind w:hanging="0" w:start="0" w:end="0"/>
        <w:jc w:val="start"/>
        <w:rPr>
          <w:rFonts w:ascii="CourierNewPSMT" w:hAnsi="CourierNewPSMT" w:eastAsia="CourierNewPSMT" w:cs="CourierNewPSMT"/>
          <w:color w:val="000000"/>
          <w:sz w:val="22"/>
          <w:szCs w:val="22"/>
        </w:rPr>
      </w:pPr>
      <w:r>
        <w:rPr>
          <w:rFonts w:eastAsia="CourierNewPSMT" w:cs="CourierNewPSMT" w:ascii="CourierNewPSMT" w:hAnsi="CourierNewPSMT"/>
          <w:color w:val="000000"/>
          <w:sz w:val="22"/>
          <w:szCs w:val="22"/>
        </w:rPr>
        <w:t>end</w:t>
      </w:r>
    </w:p>
    <w:p>
      <w:pPr>
        <w:pStyle w:val="Normal"/>
        <w:widowControl/>
        <w:bidi w:val="0"/>
        <w:spacing w:before="0" w:after="0"/>
        <w:ind w:hanging="0" w:start="0" w:end="0"/>
        <w:jc w:val="start"/>
        <w:rPr/>
      </w:pPr>
      <w:r>
        <w:rPr/>
      </w:r>
    </w:p>
    <w:p>
      <w:pPr>
        <w:pStyle w:val="Normal"/>
        <w:widowControl/>
        <w:bidi w:val="0"/>
        <w:spacing w:before="0" w:after="0"/>
        <w:ind w:hanging="0" w:start="0" w:end="0"/>
        <w:jc w:val="start"/>
        <w:rPr>
          <w:rFonts w:ascii="TimesNewRomanPS-BoldMT" w:hAnsi="TimesNewRomanPS-BoldMT" w:eastAsia="TimesNewRomanPS-BoldMT" w:cs="TimesNewRomanPS-BoldMT"/>
          <w:b/>
          <w:bCs/>
          <w:color w:val="000000"/>
          <w:sz w:val="24"/>
          <w:szCs w:val="24"/>
        </w:rPr>
      </w:pPr>
      <w:r>
        <w:rPr>
          <w:rFonts w:eastAsia="TimesNewRomanPS-BoldMT" w:cs="TimesNewRomanPS-BoldMT" w:ascii="TimesNewRomanPS-BoldMT" w:hAnsi="TimesNewRomanPS-BoldMT"/>
          <w:b/>
          <w:bCs/>
          <w:color w:val="000000"/>
          <w:sz w:val="24"/>
          <w:szCs w:val="24"/>
        </w:rPr>
        <w:t>Notes on reproduction:</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1. The code was run using GNU Octave (version 8.x) via Octave Online (https://octave-online.net), an open-source matrix algebra environment.</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2. The variable results stores the full 12-eigenvalue spectrum for each λ value (80 rows × 12 columns). Histograms in Figure 2 were generated from the rows corresponding to λ = 0.25, 0.50, 0.75, 1.00, 2.00, 4.00, 6.00, and 8.00.</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3. All Hermiticity errors are confirmed to be zero to machine precision (≈10⁻¹⁶) for every λ value in the range, confirming the correctness of the matrix construction.</w:t>
      </w:r>
    </w:p>
    <w:p>
      <w:pPr>
        <w:pStyle w:val="Normal"/>
        <w:widowControl/>
        <w:bidi w:val="0"/>
        <w:spacing w:before="0" w:after="0"/>
        <w:ind w:hanging="0" w:start="0" w:end="0"/>
        <w:jc w:val="star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4. The ground_states vector contains the 80 ground-state energies plotted in Figure 3.</w:t>
      </w:r>
    </w:p>
    <w:sectPr>
      <w:type w:val="nextPage"/>
      <w:pgSz w:w="12240" w:h="158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NewRomanPS-BoldMT">
    <w:charset w:val="01" w:characterSet="utf-8"/>
    <w:family w:val="auto"/>
    <w:pitch w:val="default"/>
  </w:font>
  <w:font w:name="TimesNewRomanPSMT">
    <w:charset w:val="01" w:characterSet="utf-8"/>
    <w:family w:val="auto"/>
    <w:pitch w:val="default"/>
  </w:font>
  <w:font w:name="CourierNewPSMT">
    <w:charset w:val="01" w:characterSet="utf-8"/>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oto Serif CJK SC" w:cs="FreeSan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